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8602F6" w:rsidRPr="00582B00" w:rsidRDefault="008602F6" w:rsidP="008602F6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8602F6" w:rsidRPr="00582B00" w:rsidRDefault="008602F6" w:rsidP="008602F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602F6" w:rsidRPr="00582B00" w:rsidRDefault="008602F6" w:rsidP="008602F6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602F6" w:rsidRPr="00582B00" w:rsidRDefault="008602F6" w:rsidP="008602F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06.03.2019 № 1053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54:19:034001:4541</w:t>
      </w:r>
      <w:r w:rsidRPr="00582B00">
        <w:rPr>
          <w:sz w:val="26"/>
          <w:szCs w:val="26"/>
        </w:rPr>
        <w:t>».</w:t>
      </w:r>
    </w:p>
    <w:p w:rsidR="008602F6" w:rsidRPr="00582B00" w:rsidRDefault="008602F6" w:rsidP="008602F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8602F6" w:rsidRPr="00582B00" w:rsidRDefault="008602F6" w:rsidP="008602F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13 сентября 2019</w:t>
      </w:r>
      <w:r w:rsidRPr="00582B00">
        <w:rPr>
          <w:sz w:val="26"/>
          <w:szCs w:val="26"/>
        </w:rPr>
        <w:t xml:space="preserve"> года.</w:t>
      </w:r>
    </w:p>
    <w:p w:rsidR="008602F6" w:rsidRPr="00582B00" w:rsidRDefault="008602F6" w:rsidP="008602F6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8602F6" w:rsidRPr="00582B00" w:rsidRDefault="008602F6" w:rsidP="008602F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8602F6" w:rsidRPr="00582B00" w:rsidRDefault="008602F6" w:rsidP="008602F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8602F6" w:rsidRDefault="008602F6" w:rsidP="008602F6">
      <w:pPr>
        <w:keepNext/>
        <w:ind w:firstLine="709"/>
        <w:jc w:val="center"/>
        <w:rPr>
          <w:rStyle w:val="a3"/>
          <w:sz w:val="26"/>
          <w:szCs w:val="26"/>
        </w:rPr>
      </w:pPr>
    </w:p>
    <w:p w:rsidR="008602F6" w:rsidRPr="00582B00" w:rsidRDefault="008602F6" w:rsidP="008602F6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8602F6" w:rsidRPr="006754E3" w:rsidRDefault="008602F6" w:rsidP="008602F6">
      <w:pPr>
        <w:ind w:firstLine="709"/>
        <w:jc w:val="both"/>
        <w:rPr>
          <w:color w:val="000000"/>
          <w:sz w:val="26"/>
          <w:szCs w:val="26"/>
        </w:rPr>
      </w:pPr>
      <w:r w:rsidRPr="006754E3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54:19:034001:4541</w:t>
      </w:r>
      <w:r w:rsidRPr="006754E3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4443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6754E3">
        <w:rPr>
          <w:sz w:val="26"/>
          <w:szCs w:val="26"/>
        </w:rPr>
        <w:t xml:space="preserve">, местоположение: </w:t>
      </w:r>
      <w:proofErr w:type="gramStart"/>
      <w:r>
        <w:rPr>
          <w:sz w:val="26"/>
          <w:szCs w:val="26"/>
        </w:rPr>
        <w:t xml:space="preserve">Новосибирская область, р-н Новосибирский, </w:t>
      </w:r>
      <w:proofErr w:type="spellStart"/>
      <w:r>
        <w:rPr>
          <w:sz w:val="26"/>
          <w:szCs w:val="26"/>
        </w:rPr>
        <w:t>Толмачевский</w:t>
      </w:r>
      <w:proofErr w:type="spellEnd"/>
      <w:r>
        <w:rPr>
          <w:sz w:val="26"/>
          <w:szCs w:val="26"/>
        </w:rPr>
        <w:t xml:space="preserve"> сельсовет</w:t>
      </w:r>
      <w:r w:rsidRPr="006754E3">
        <w:rPr>
          <w:sz w:val="26"/>
          <w:szCs w:val="26"/>
        </w:rPr>
        <w:t xml:space="preserve">, категория земель: </w:t>
      </w:r>
      <w:r w:rsidRPr="0052118C">
        <w:rPr>
          <w:sz w:val="26"/>
          <w:szCs w:val="26"/>
        </w:rPr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</w:t>
      </w:r>
      <w:r w:rsidRPr="00EF554D">
        <w:rPr>
          <w:sz w:val="26"/>
          <w:szCs w:val="26"/>
        </w:rPr>
        <w:t>специального назначения</w:t>
      </w:r>
      <w:r w:rsidRPr="0052118C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склады (6.9)</w:t>
      </w:r>
      <w:r w:rsidRPr="006754E3">
        <w:rPr>
          <w:color w:val="000000"/>
          <w:sz w:val="26"/>
          <w:szCs w:val="26"/>
        </w:rPr>
        <w:t xml:space="preserve">.  </w:t>
      </w:r>
      <w:proofErr w:type="gramEnd"/>
    </w:p>
    <w:p w:rsidR="008602F6" w:rsidRPr="00B10B2D" w:rsidRDefault="008602F6" w:rsidP="008602F6">
      <w:pPr>
        <w:ind w:firstLine="709"/>
        <w:jc w:val="both"/>
        <w:outlineLvl w:val="0"/>
        <w:rPr>
          <w:b/>
          <w:sz w:val="26"/>
          <w:szCs w:val="26"/>
        </w:rPr>
      </w:pPr>
      <w:r w:rsidRPr="00B10B2D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B10B2D">
        <w:rPr>
          <w:rStyle w:val="a3"/>
          <w:b w:val="0"/>
          <w:sz w:val="26"/>
          <w:szCs w:val="26"/>
        </w:rPr>
        <w:t>не зарегистрировано.</w:t>
      </w:r>
    </w:p>
    <w:p w:rsidR="008602F6" w:rsidRPr="00B10B2D" w:rsidRDefault="008602F6" w:rsidP="008602F6">
      <w:pPr>
        <w:ind w:firstLine="709"/>
        <w:jc w:val="both"/>
        <w:outlineLvl w:val="0"/>
        <w:rPr>
          <w:b/>
          <w:sz w:val="26"/>
          <w:szCs w:val="26"/>
        </w:rPr>
      </w:pPr>
      <w:r w:rsidRPr="00B10B2D">
        <w:rPr>
          <w:b/>
          <w:sz w:val="26"/>
          <w:szCs w:val="26"/>
        </w:rPr>
        <w:t>Дополнительные сведения о земельном участке:</w:t>
      </w:r>
    </w:p>
    <w:p w:rsidR="008602F6" w:rsidRPr="00B10B2D" w:rsidRDefault="008602F6" w:rsidP="008602F6">
      <w:pPr>
        <w:ind w:firstLine="709"/>
        <w:jc w:val="both"/>
        <w:outlineLvl w:val="0"/>
        <w:rPr>
          <w:rStyle w:val="a3"/>
          <w:b w:val="0"/>
          <w:bCs w:val="0"/>
          <w:color w:val="000000"/>
          <w:sz w:val="26"/>
          <w:szCs w:val="26"/>
        </w:rPr>
      </w:pPr>
      <w:r w:rsidRPr="00B10B2D">
        <w:rPr>
          <w:sz w:val="26"/>
          <w:szCs w:val="26"/>
        </w:rPr>
        <w:t>П</w:t>
      </w:r>
      <w:r w:rsidRPr="00B10B2D">
        <w:rPr>
          <w:color w:val="000000"/>
          <w:sz w:val="26"/>
          <w:szCs w:val="26"/>
        </w:rPr>
        <w:t>о результатам полевого обследования установлено следующее:</w:t>
      </w:r>
      <w:r w:rsidRPr="00B10B2D">
        <w:rPr>
          <w:sz w:val="26"/>
          <w:szCs w:val="26"/>
        </w:rPr>
        <w:t xml:space="preserve"> </w:t>
      </w:r>
      <w:r w:rsidRPr="00B10B2D">
        <w:rPr>
          <w:color w:val="000000"/>
          <w:sz w:val="26"/>
          <w:szCs w:val="26"/>
        </w:rPr>
        <w:t>земельный участок огорожен частично. По террито</w:t>
      </w:r>
      <w:r w:rsidRPr="00B10B2D">
        <w:rPr>
          <w:color w:val="000000"/>
          <w:sz w:val="26"/>
          <w:szCs w:val="26"/>
        </w:rPr>
        <w:softHyphen/>
        <w:t xml:space="preserve">рии земельного участка проходит линия электропередачи </w:t>
      </w:r>
      <w:proofErr w:type="gramStart"/>
      <w:r w:rsidRPr="00B10B2D">
        <w:rPr>
          <w:color w:val="000000"/>
          <w:sz w:val="26"/>
          <w:szCs w:val="26"/>
        </w:rPr>
        <w:t>ВЛ</w:t>
      </w:r>
      <w:proofErr w:type="gramEnd"/>
      <w:r w:rsidRPr="00B10B2D">
        <w:rPr>
          <w:color w:val="000000"/>
          <w:sz w:val="26"/>
          <w:szCs w:val="26"/>
        </w:rPr>
        <w:t xml:space="preserve"> 10 </w:t>
      </w:r>
      <w:proofErr w:type="spellStart"/>
      <w:r w:rsidRPr="00B10B2D">
        <w:rPr>
          <w:color w:val="000000"/>
          <w:sz w:val="26"/>
          <w:szCs w:val="26"/>
        </w:rPr>
        <w:t>кВ</w:t>
      </w:r>
      <w:proofErr w:type="spellEnd"/>
      <w:r w:rsidRPr="00B10B2D">
        <w:rPr>
          <w:color w:val="000000"/>
          <w:sz w:val="26"/>
          <w:szCs w:val="26"/>
        </w:rPr>
        <w:t>,</w:t>
      </w:r>
      <w:r w:rsidRPr="00B10B2D">
        <w:rPr>
          <w:sz w:val="26"/>
          <w:szCs w:val="26"/>
        </w:rPr>
        <w:t xml:space="preserve"> в соответствии с </w:t>
      </w:r>
      <w:r w:rsidRPr="00B10B2D">
        <w:rPr>
          <w:color w:val="000000"/>
          <w:sz w:val="26"/>
          <w:szCs w:val="26"/>
        </w:rPr>
        <w:t>правилами</w:t>
      </w:r>
      <w:r>
        <w:rPr>
          <w:color w:val="000000"/>
          <w:sz w:val="26"/>
          <w:szCs w:val="26"/>
        </w:rPr>
        <w:t xml:space="preserve"> </w:t>
      </w:r>
      <w:r w:rsidRPr="00B10B2D">
        <w:rPr>
          <w:color w:val="000000"/>
          <w:sz w:val="26"/>
          <w:szCs w:val="26"/>
        </w:rPr>
        <w:t xml:space="preserve">установления охранных зон объектов электросетевого хозяйства и особых условий использования земельных </w:t>
      </w:r>
      <w:r w:rsidRPr="00B10B2D">
        <w:rPr>
          <w:color w:val="000000"/>
          <w:sz w:val="26"/>
          <w:szCs w:val="26"/>
        </w:rPr>
        <w:lastRenderedPageBreak/>
        <w:t>участков, расположенных в границах таких зон</w:t>
      </w:r>
      <w:r>
        <w:rPr>
          <w:color w:val="000000"/>
          <w:sz w:val="26"/>
          <w:szCs w:val="26"/>
        </w:rPr>
        <w:t xml:space="preserve"> </w:t>
      </w:r>
      <w:r w:rsidRPr="00B10B2D">
        <w:rPr>
          <w:color w:val="000000"/>
          <w:sz w:val="26"/>
          <w:szCs w:val="26"/>
        </w:rPr>
        <w:t>(утв. постановление</w:t>
      </w:r>
      <w:r>
        <w:rPr>
          <w:color w:val="000000"/>
          <w:sz w:val="26"/>
          <w:szCs w:val="26"/>
        </w:rPr>
        <w:t>м Правительства РФ от 24.02.2009</w:t>
      </w:r>
      <w:r w:rsidRPr="00B10B2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№ </w:t>
      </w:r>
      <w:r w:rsidRPr="00B10B2D">
        <w:rPr>
          <w:color w:val="000000"/>
          <w:sz w:val="26"/>
          <w:szCs w:val="26"/>
        </w:rPr>
        <w:t>160)</w:t>
      </w:r>
      <w:r>
        <w:rPr>
          <w:color w:val="000000"/>
          <w:sz w:val="26"/>
          <w:szCs w:val="26"/>
        </w:rPr>
        <w:t xml:space="preserve"> вдоль воздушной линии</w:t>
      </w:r>
      <w:r w:rsidRPr="00B10B2D">
        <w:rPr>
          <w:color w:val="000000"/>
          <w:sz w:val="26"/>
          <w:szCs w:val="26"/>
        </w:rPr>
        <w:t xml:space="preserve"> электропередачи - в виде части поверхности участка земли и воздушного пространства, ограниченной параллельными вертикальными плоскостями, отстоящими по обе стороны линии электропередачи от крайних проводов</w:t>
      </w:r>
      <w:r>
        <w:rPr>
          <w:color w:val="000000"/>
          <w:sz w:val="26"/>
          <w:szCs w:val="26"/>
        </w:rPr>
        <w:t xml:space="preserve"> на расстоянии 10 метров установлена охранная зона</w:t>
      </w:r>
      <w:r w:rsidRPr="00B10B2D">
        <w:rPr>
          <w:color w:val="000000"/>
          <w:sz w:val="26"/>
          <w:szCs w:val="26"/>
        </w:rPr>
        <w:t>. На территории земельного участка установлено наличие навала грунта. Уста</w:t>
      </w:r>
      <w:r w:rsidRPr="00B10B2D">
        <w:rPr>
          <w:color w:val="000000"/>
          <w:sz w:val="26"/>
          <w:szCs w:val="26"/>
        </w:rPr>
        <w:softHyphen/>
        <w:t>новить наличие подземных коммуникаций не представляется возможным.</w:t>
      </w:r>
    </w:p>
    <w:p w:rsidR="008602F6" w:rsidRPr="00B10B2D" w:rsidRDefault="008602F6" w:rsidP="008602F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10B2D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  </w:t>
      </w:r>
      <w:r w:rsidRPr="00B10B2D">
        <w:rPr>
          <w:rStyle w:val="a3"/>
          <w:b w:val="0"/>
          <w:sz w:val="26"/>
          <w:szCs w:val="26"/>
        </w:rPr>
        <w:t>555 400 (пятьсот пятьдесят пять тысяч четыреста) рублей 00 копеек</w:t>
      </w:r>
      <w:r w:rsidRPr="00B10B2D">
        <w:rPr>
          <w:sz w:val="26"/>
          <w:szCs w:val="26"/>
        </w:rPr>
        <w:t>.</w:t>
      </w:r>
    </w:p>
    <w:p w:rsidR="008602F6" w:rsidRPr="00B10B2D" w:rsidRDefault="008602F6" w:rsidP="008602F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10B2D">
        <w:rPr>
          <w:b/>
          <w:sz w:val="26"/>
          <w:szCs w:val="26"/>
        </w:rPr>
        <w:t xml:space="preserve">Шаг аукциона: </w:t>
      </w:r>
      <w:r w:rsidRPr="00B10B2D">
        <w:rPr>
          <w:sz w:val="26"/>
          <w:szCs w:val="26"/>
        </w:rPr>
        <w:t>16 600 (шестнадцать тысяч шестьсот) рублей 00 коп.</w:t>
      </w:r>
    </w:p>
    <w:p w:rsidR="008602F6" w:rsidRDefault="008602F6" w:rsidP="008602F6">
      <w:pPr>
        <w:ind w:firstLine="709"/>
        <w:jc w:val="both"/>
        <w:outlineLvl w:val="0"/>
        <w:rPr>
          <w:sz w:val="26"/>
          <w:szCs w:val="26"/>
        </w:rPr>
      </w:pPr>
      <w:r w:rsidRPr="00B10B2D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6754E3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8602F6" w:rsidRPr="002844A1" w:rsidRDefault="008602F6" w:rsidP="008602F6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EB0989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spellStart"/>
      <w:r>
        <w:rPr>
          <w:sz w:val="26"/>
          <w:szCs w:val="26"/>
        </w:rPr>
        <w:t>Толмачевского</w:t>
      </w:r>
      <w:proofErr w:type="spellEnd"/>
      <w:r w:rsidRPr="00EB0989">
        <w:rPr>
          <w:sz w:val="26"/>
          <w:szCs w:val="26"/>
        </w:rPr>
        <w:t xml:space="preserve"> сельсовета Новосибирского района Новосибирской области, утвержденными </w:t>
      </w:r>
      <w:r w:rsidRPr="00C40FD2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Pr="00C40FD2">
        <w:rPr>
          <w:sz w:val="26"/>
          <w:szCs w:val="26"/>
        </w:rPr>
        <w:t xml:space="preserve"> министерства строительства Новосибирс</w:t>
      </w:r>
      <w:r>
        <w:rPr>
          <w:sz w:val="26"/>
          <w:szCs w:val="26"/>
        </w:rPr>
        <w:t>кой области от 08.06.2018 № 269 «</w:t>
      </w:r>
      <w:r w:rsidRPr="00C40FD2">
        <w:rPr>
          <w:sz w:val="26"/>
          <w:szCs w:val="26"/>
        </w:rPr>
        <w:t xml:space="preserve">Об утверждении правил землепользования и застройки </w:t>
      </w:r>
      <w:proofErr w:type="spellStart"/>
      <w:r w:rsidRPr="00C40FD2">
        <w:rPr>
          <w:sz w:val="26"/>
          <w:szCs w:val="26"/>
        </w:rPr>
        <w:t>Толмачевского</w:t>
      </w:r>
      <w:proofErr w:type="spellEnd"/>
      <w:r w:rsidRPr="00C40FD2">
        <w:rPr>
          <w:sz w:val="26"/>
          <w:szCs w:val="26"/>
        </w:rPr>
        <w:t xml:space="preserve"> сельсовета Новосибирского района Новосибирс</w:t>
      </w:r>
      <w:r>
        <w:rPr>
          <w:sz w:val="26"/>
          <w:szCs w:val="26"/>
        </w:rPr>
        <w:t>кой области»</w:t>
      </w:r>
      <w:r w:rsidRPr="00EB0989">
        <w:rPr>
          <w:sz w:val="26"/>
          <w:szCs w:val="26"/>
        </w:rPr>
        <w:t xml:space="preserve"> </w:t>
      </w:r>
      <w:r w:rsidRPr="002844A1">
        <w:rPr>
          <w:sz w:val="26"/>
          <w:szCs w:val="26"/>
        </w:rPr>
        <w:t xml:space="preserve">земельный участок расположен в границах территориальной зоны – </w:t>
      </w:r>
      <w:r>
        <w:rPr>
          <w:sz w:val="26"/>
          <w:szCs w:val="26"/>
        </w:rPr>
        <w:t>коммунально-складская зона</w:t>
      </w:r>
      <w:r w:rsidRPr="002844A1">
        <w:rPr>
          <w:sz w:val="26"/>
          <w:szCs w:val="26"/>
        </w:rPr>
        <w:t xml:space="preserve"> (</w:t>
      </w:r>
      <w:r>
        <w:rPr>
          <w:sz w:val="26"/>
          <w:szCs w:val="26"/>
        </w:rPr>
        <w:t>К</w:t>
      </w:r>
      <w:r w:rsidRPr="002844A1">
        <w:rPr>
          <w:sz w:val="26"/>
          <w:szCs w:val="26"/>
        </w:rPr>
        <w:t>).</w:t>
      </w:r>
      <w:proofErr w:type="gramEnd"/>
    </w:p>
    <w:p w:rsidR="008602F6" w:rsidRPr="002844A1" w:rsidRDefault="008602F6" w:rsidP="008602F6">
      <w:pPr>
        <w:ind w:firstLine="709"/>
        <w:jc w:val="both"/>
        <w:outlineLvl w:val="0"/>
        <w:rPr>
          <w:sz w:val="26"/>
          <w:szCs w:val="26"/>
        </w:rPr>
      </w:pPr>
      <w:r w:rsidRPr="002844A1">
        <w:rPr>
          <w:sz w:val="26"/>
          <w:szCs w:val="26"/>
        </w:rPr>
        <w:t>Градостроительным регламентом данной территориальной зоны установлены следующие предельные параметры разреш</w:t>
      </w:r>
      <w:r>
        <w:rPr>
          <w:sz w:val="26"/>
          <w:szCs w:val="26"/>
        </w:rPr>
        <w:t>е</w:t>
      </w:r>
      <w:r w:rsidRPr="002844A1">
        <w:rPr>
          <w:sz w:val="26"/>
          <w:szCs w:val="26"/>
        </w:rPr>
        <w:t>нного строительства, реконструкции объектов капитального строительства: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3"/>
        <w:gridCol w:w="763"/>
        <w:gridCol w:w="803"/>
        <w:gridCol w:w="999"/>
        <w:gridCol w:w="668"/>
        <w:gridCol w:w="668"/>
        <w:gridCol w:w="1174"/>
        <w:gridCol w:w="1184"/>
      </w:tblGrid>
      <w:tr w:rsidR="008602F6" w:rsidRPr="00E30928" w:rsidTr="00FE69B9">
        <w:trPr>
          <w:tblHeader/>
        </w:trPr>
        <w:tc>
          <w:tcPr>
            <w:tcW w:w="285" w:type="pct"/>
            <w:vMerge w:val="restart"/>
            <w:vAlign w:val="center"/>
          </w:tcPr>
          <w:p w:rsidR="008602F6" w:rsidRPr="00E30928" w:rsidRDefault="008602F6" w:rsidP="00FE69B9">
            <w:pPr>
              <w:jc w:val="center"/>
            </w:pPr>
            <w:r w:rsidRPr="00E30928">
              <w:t>№</w:t>
            </w:r>
          </w:p>
          <w:p w:rsidR="008602F6" w:rsidRPr="00E30928" w:rsidRDefault="008602F6" w:rsidP="00FE69B9">
            <w:pPr>
              <w:jc w:val="center"/>
            </w:pPr>
            <w:r w:rsidRPr="00E30928">
              <w:t>п.</w:t>
            </w:r>
          </w:p>
        </w:tc>
        <w:tc>
          <w:tcPr>
            <w:tcW w:w="1596" w:type="pct"/>
            <w:vMerge w:val="restart"/>
            <w:vAlign w:val="center"/>
          </w:tcPr>
          <w:p w:rsidR="008602F6" w:rsidRPr="00E30928" w:rsidRDefault="008602F6" w:rsidP="00FE69B9">
            <w:pPr>
              <w:jc w:val="center"/>
            </w:pPr>
            <w:r w:rsidRPr="00E30928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8602F6" w:rsidRPr="00E30928" w:rsidRDefault="008602F6" w:rsidP="00FE69B9">
            <w:pPr>
              <w:jc w:val="center"/>
            </w:pPr>
            <w:r w:rsidRPr="00E30928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602F6" w:rsidRPr="00E30928" w:rsidTr="00FE69B9">
        <w:trPr>
          <w:tblHeader/>
        </w:trPr>
        <w:tc>
          <w:tcPr>
            <w:tcW w:w="285" w:type="pct"/>
            <w:vMerge/>
            <w:vAlign w:val="center"/>
          </w:tcPr>
          <w:p w:rsidR="008602F6" w:rsidRPr="00E30928" w:rsidRDefault="008602F6" w:rsidP="00FE69B9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8602F6" w:rsidRPr="00E30928" w:rsidRDefault="008602F6" w:rsidP="00FE69B9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8602F6" w:rsidRPr="00E30928" w:rsidRDefault="008602F6" w:rsidP="00FE69B9">
            <w:pPr>
              <w:jc w:val="center"/>
            </w:pPr>
            <w:r w:rsidRPr="00E30928">
              <w:t>S </w:t>
            </w:r>
            <w:proofErr w:type="spellStart"/>
            <w:r w:rsidRPr="00E30928">
              <w:t>min</w:t>
            </w:r>
            <w:proofErr w:type="spellEnd"/>
            <w:r w:rsidRPr="00E30928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602F6" w:rsidRPr="00E30928" w:rsidRDefault="008602F6" w:rsidP="00FE69B9">
            <w:pPr>
              <w:jc w:val="center"/>
            </w:pPr>
            <w:r w:rsidRPr="00E30928">
              <w:t>S </w:t>
            </w:r>
            <w:proofErr w:type="spellStart"/>
            <w:r w:rsidRPr="00E30928">
              <w:t>max</w:t>
            </w:r>
            <w:proofErr w:type="spellEnd"/>
            <w:r w:rsidRPr="00E30928">
              <w:t>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8602F6" w:rsidRPr="00E30928" w:rsidRDefault="008602F6" w:rsidP="00FE69B9">
            <w:pPr>
              <w:jc w:val="center"/>
            </w:pPr>
            <w:r w:rsidRPr="00E30928">
              <w:t xml:space="preserve">Отступ  </w:t>
            </w:r>
            <w:proofErr w:type="spellStart"/>
            <w:r w:rsidRPr="00E30928">
              <w:t>min</w:t>
            </w:r>
            <w:proofErr w:type="spellEnd"/>
            <w:r w:rsidRPr="00E30928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8602F6" w:rsidRPr="00E30928" w:rsidRDefault="008602F6" w:rsidP="00FE69B9">
            <w:pPr>
              <w:jc w:val="center"/>
            </w:pPr>
            <w:r w:rsidRPr="00E30928">
              <w:t xml:space="preserve">Этаж </w:t>
            </w:r>
            <w:proofErr w:type="spellStart"/>
            <w:r w:rsidRPr="00E30928">
              <w:t>min</w:t>
            </w:r>
            <w:proofErr w:type="spellEnd"/>
            <w:r w:rsidRPr="00E30928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8602F6" w:rsidRPr="00E30928" w:rsidRDefault="008602F6" w:rsidP="00FE69B9">
            <w:pPr>
              <w:jc w:val="center"/>
            </w:pPr>
            <w:r w:rsidRPr="00E30928">
              <w:t xml:space="preserve">Этаж </w:t>
            </w:r>
            <w:proofErr w:type="spellStart"/>
            <w:r w:rsidRPr="00E30928">
              <w:t>max</w:t>
            </w:r>
            <w:proofErr w:type="spellEnd"/>
            <w:r w:rsidRPr="00E30928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8602F6" w:rsidRPr="00E30928" w:rsidRDefault="008602F6" w:rsidP="00FE69B9">
            <w:pPr>
              <w:jc w:val="center"/>
            </w:pPr>
            <w:r w:rsidRPr="00E30928">
              <w:t xml:space="preserve">Процент застройки </w:t>
            </w:r>
            <w:proofErr w:type="spellStart"/>
            <w:r w:rsidRPr="00E30928">
              <w:t>min</w:t>
            </w:r>
            <w:proofErr w:type="spellEnd"/>
            <w:r w:rsidRPr="00E30928">
              <w:t>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8602F6" w:rsidRPr="00E30928" w:rsidRDefault="008602F6" w:rsidP="00FE69B9">
            <w:pPr>
              <w:jc w:val="center"/>
            </w:pPr>
            <w:r w:rsidRPr="00E30928">
              <w:t xml:space="preserve">Процент застройки </w:t>
            </w:r>
            <w:proofErr w:type="spellStart"/>
            <w:r w:rsidRPr="00E30928">
              <w:t>max</w:t>
            </w:r>
            <w:proofErr w:type="spellEnd"/>
            <w:r w:rsidRPr="00E30928">
              <w:t>, (процент)</w:t>
            </w:r>
          </w:p>
        </w:tc>
      </w:tr>
      <w:tr w:rsidR="008602F6" w:rsidRPr="00E30928" w:rsidTr="00FE69B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</w:tcPr>
          <w:p w:rsidR="008602F6" w:rsidRPr="00E30928" w:rsidRDefault="008602F6" w:rsidP="00FE69B9">
            <w:pPr>
              <w:suppressAutoHyphens/>
              <w:rPr>
                <w:rFonts w:eastAsia="Calibri"/>
                <w:lang w:val="x-none" w:eastAsia="en-US"/>
              </w:rPr>
            </w:pPr>
            <w:r w:rsidRPr="00E30928">
              <w:rPr>
                <w:rFonts w:eastAsia="Calibri"/>
                <w:lang w:eastAsia="en-US"/>
              </w:rPr>
              <w:t>3.10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8602F6" w:rsidRPr="00E30928" w:rsidRDefault="008602F6" w:rsidP="00FE69B9">
            <w:r>
              <w:t>К</w:t>
            </w:r>
            <w:r w:rsidRPr="00C40FD2">
              <w:t>оммунально-складская зона (К)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8602F6" w:rsidRPr="00E30928" w:rsidRDefault="008602F6" w:rsidP="00FE69B9">
            <w:pPr>
              <w:jc w:val="center"/>
            </w:pPr>
            <w:r w:rsidRPr="00E30928">
              <w:t>0,1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8602F6" w:rsidRPr="00E30928" w:rsidRDefault="008602F6" w:rsidP="00FE69B9">
            <w:pPr>
              <w:jc w:val="center"/>
            </w:pPr>
            <w:r w:rsidRPr="00E30928">
              <w:t>50,0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8602F6" w:rsidRPr="00E30928" w:rsidRDefault="008602F6" w:rsidP="00FE69B9">
            <w:pPr>
              <w:jc w:val="center"/>
            </w:pPr>
            <w: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8602F6" w:rsidRPr="00E30928" w:rsidRDefault="008602F6" w:rsidP="00FE69B9">
            <w:pPr>
              <w:jc w:val="center"/>
            </w:pPr>
            <w:r w:rsidRPr="00E30928"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8602F6" w:rsidRPr="00E30928" w:rsidRDefault="008602F6" w:rsidP="00FE69B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8602F6" w:rsidRPr="00E30928" w:rsidRDefault="008602F6" w:rsidP="00FE69B9">
            <w:pPr>
              <w:jc w:val="center"/>
            </w:pPr>
            <w:r w:rsidRPr="00E30928">
              <w:t>10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8602F6" w:rsidRPr="00E30928" w:rsidRDefault="008602F6" w:rsidP="00FE69B9">
            <w:pPr>
              <w:jc w:val="center"/>
            </w:pPr>
            <w:r w:rsidRPr="00E30928">
              <w:t>80</w:t>
            </w:r>
          </w:p>
        </w:tc>
      </w:tr>
    </w:tbl>
    <w:p w:rsidR="008602F6" w:rsidRDefault="008602F6" w:rsidP="008602F6">
      <w:pPr>
        <w:ind w:firstLine="709"/>
        <w:jc w:val="both"/>
        <w:outlineLvl w:val="0"/>
        <w:rPr>
          <w:sz w:val="26"/>
          <w:szCs w:val="26"/>
        </w:rPr>
      </w:pPr>
    </w:p>
    <w:p w:rsidR="008602F6" w:rsidRPr="006754E3" w:rsidRDefault="008602F6" w:rsidP="008602F6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8602F6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 xml:space="preserve"> 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</w:p>
    <w:p w:rsidR="008602F6" w:rsidRPr="004C0190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 xml:space="preserve">Подключение объекта на земельном участке к сетям водоснабжения с максимальной нагрузкой 0,104 </w:t>
      </w:r>
      <w:proofErr w:type="spellStart"/>
      <w:r w:rsidRPr="004C0190">
        <w:rPr>
          <w:sz w:val="26"/>
          <w:szCs w:val="26"/>
        </w:rPr>
        <w:t>куб</w:t>
      </w:r>
      <w:proofErr w:type="gramStart"/>
      <w:r w:rsidRPr="004C0190">
        <w:rPr>
          <w:sz w:val="26"/>
          <w:szCs w:val="26"/>
        </w:rPr>
        <w:t>.м</w:t>
      </w:r>
      <w:proofErr w:type="spellEnd"/>
      <w:proofErr w:type="gramEnd"/>
      <w:r w:rsidRPr="004C0190">
        <w:rPr>
          <w:sz w:val="26"/>
          <w:szCs w:val="26"/>
        </w:rPr>
        <w:t xml:space="preserve">/час (2,5 </w:t>
      </w:r>
      <w:proofErr w:type="spellStart"/>
      <w:r w:rsidRPr="004C0190">
        <w:rPr>
          <w:sz w:val="26"/>
          <w:szCs w:val="26"/>
        </w:rPr>
        <w:t>куб.м</w:t>
      </w:r>
      <w:proofErr w:type="spellEnd"/>
      <w:r w:rsidRPr="004C0190">
        <w:rPr>
          <w:sz w:val="26"/>
          <w:szCs w:val="26"/>
        </w:rPr>
        <w:t>/</w:t>
      </w:r>
      <w:proofErr w:type="spellStart"/>
      <w:r w:rsidRPr="004C0190">
        <w:rPr>
          <w:sz w:val="26"/>
          <w:szCs w:val="26"/>
        </w:rPr>
        <w:t>сут</w:t>
      </w:r>
      <w:proofErr w:type="spellEnd"/>
      <w:r w:rsidRPr="004C0190">
        <w:rPr>
          <w:sz w:val="26"/>
          <w:szCs w:val="26"/>
        </w:rPr>
        <w:t>.) в возможных точках подключения:</w:t>
      </w:r>
    </w:p>
    <w:p w:rsidR="008602F6" w:rsidRPr="004C0190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- водопровод централизованной системы холодного водоснабжения, к которому возможно под</w:t>
      </w:r>
      <w:r>
        <w:rPr>
          <w:sz w:val="26"/>
          <w:szCs w:val="26"/>
        </w:rPr>
        <w:t>ключение объекта - водопровод Д-</w:t>
      </w:r>
      <w:r w:rsidRPr="004C0190">
        <w:rPr>
          <w:sz w:val="26"/>
          <w:szCs w:val="26"/>
        </w:rPr>
        <w:t xml:space="preserve">315мм по ул. </w:t>
      </w:r>
      <w:proofErr w:type="spellStart"/>
      <w:r w:rsidRPr="004C0190">
        <w:rPr>
          <w:sz w:val="26"/>
          <w:szCs w:val="26"/>
        </w:rPr>
        <w:t>Толмачевская</w:t>
      </w:r>
      <w:proofErr w:type="spellEnd"/>
      <w:r w:rsidRPr="004C0190">
        <w:rPr>
          <w:sz w:val="26"/>
          <w:szCs w:val="26"/>
        </w:rPr>
        <w:t>, находящийся в муниципальной собственности, в проектируемом колодце.</w:t>
      </w:r>
    </w:p>
    <w:p w:rsidR="008602F6" w:rsidRPr="004C0190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Сети канализации в районе размещения объекта отсутствуют.</w:t>
      </w:r>
    </w:p>
    <w:p w:rsidR="008602F6" w:rsidRPr="004C0190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Срок действия настоящих технических условий 3 года с даты их выдачи. По истечении этого срока параметры выданных технических условий могут быть изменены.</w:t>
      </w:r>
    </w:p>
    <w:p w:rsidR="008602F6" w:rsidRPr="004C0190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lastRenderedPageBreak/>
        <w:t>В случае</w:t>
      </w:r>
      <w:proofErr w:type="gramStart"/>
      <w:r w:rsidRPr="004C0190">
        <w:rPr>
          <w:sz w:val="26"/>
          <w:szCs w:val="26"/>
        </w:rPr>
        <w:t>,</w:t>
      </w:r>
      <w:proofErr w:type="gramEnd"/>
      <w:r w:rsidRPr="004C0190">
        <w:rPr>
          <w:sz w:val="26"/>
          <w:szCs w:val="26"/>
        </w:rPr>
        <w:t xml:space="preserve"> если в течение 1 года с даты получения настоящих технических условий правообладатель земельного участка не определит необходимую ему окончательную подключаемую нагрузку и не обратится с</w:t>
      </w:r>
      <w:r w:rsidRPr="004C0190">
        <w:t xml:space="preserve"> </w:t>
      </w:r>
      <w:r w:rsidRPr="004C0190">
        <w:rPr>
          <w:sz w:val="26"/>
          <w:szCs w:val="26"/>
        </w:rPr>
        <w:t>заявлением о подключении объекта к сетям водоснабжения, и не заключит договор о подключении объекта, обязательства</w:t>
      </w:r>
      <w:r>
        <w:rPr>
          <w:sz w:val="26"/>
          <w:szCs w:val="26"/>
        </w:rPr>
        <w:t xml:space="preserve"> МУП</w:t>
      </w:r>
      <w:r w:rsidRPr="004C0190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</w:t>
      </w:r>
      <w:r w:rsidRPr="004C0190">
        <w:rPr>
          <w:sz w:val="26"/>
          <w:szCs w:val="26"/>
        </w:rPr>
        <w:t>Новосибирска «ГОРВОДОКАНАЛ» по обеспеч</w:t>
      </w:r>
      <w:r>
        <w:rPr>
          <w:sz w:val="26"/>
          <w:szCs w:val="26"/>
        </w:rPr>
        <w:t>ению подключения объекта капитал</w:t>
      </w:r>
      <w:r w:rsidRPr="004C0190">
        <w:rPr>
          <w:sz w:val="26"/>
          <w:szCs w:val="26"/>
        </w:rPr>
        <w:t>ьного строительства к сетям инженерно-технического обеспечения в соответствии с данными техническими условиями прекращаются.</w:t>
      </w:r>
    </w:p>
    <w:p w:rsidR="008602F6" w:rsidRPr="004C0190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</w:t>
      </w:r>
      <w:r w:rsidRPr="004C0190">
        <w:rPr>
          <w:sz w:val="26"/>
          <w:szCs w:val="26"/>
        </w:rPr>
        <w:t xml:space="preserve"> о действующих </w:t>
      </w:r>
      <w:proofErr w:type="spellStart"/>
      <w:r w:rsidRPr="004C0190">
        <w:rPr>
          <w:sz w:val="26"/>
          <w:szCs w:val="26"/>
        </w:rPr>
        <w:t>двухставочных</w:t>
      </w:r>
      <w:proofErr w:type="spellEnd"/>
      <w:r w:rsidRPr="004C0190">
        <w:rPr>
          <w:sz w:val="26"/>
          <w:szCs w:val="26"/>
        </w:rPr>
        <w:t xml:space="preserve"> тарифах на подключение (технологическое присоединение) объекта капитального строительства к централизованной системе холодного водоснабжения на территории Новосибирской области, установленных приказом департамента по тарифам Новосибирской области от 2</w:t>
      </w:r>
      <w:r>
        <w:rPr>
          <w:sz w:val="26"/>
          <w:szCs w:val="26"/>
        </w:rPr>
        <w:t>8.11.2014</w:t>
      </w:r>
      <w:r w:rsidRPr="004C0190">
        <w:rPr>
          <w:sz w:val="26"/>
          <w:szCs w:val="26"/>
        </w:rPr>
        <w:t xml:space="preserve"> №381-В:</w:t>
      </w:r>
    </w:p>
    <w:p w:rsidR="008602F6" w:rsidRPr="004C0190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 xml:space="preserve">-   ставка тарифа за подключаемую (технологически присоединяемую) нагрузку в размере 484,1 </w:t>
      </w:r>
      <w:proofErr w:type="spellStart"/>
      <w:r w:rsidRPr="004C0190">
        <w:rPr>
          <w:sz w:val="26"/>
          <w:szCs w:val="26"/>
        </w:rPr>
        <w:t>тыс</w:t>
      </w:r>
      <w:proofErr w:type="gramStart"/>
      <w:r w:rsidRPr="004C0190">
        <w:rPr>
          <w:sz w:val="26"/>
          <w:szCs w:val="26"/>
        </w:rPr>
        <w:t>.р</w:t>
      </w:r>
      <w:proofErr w:type="gramEnd"/>
      <w:r w:rsidRPr="004C0190">
        <w:rPr>
          <w:sz w:val="26"/>
          <w:szCs w:val="26"/>
        </w:rPr>
        <w:t>уб</w:t>
      </w:r>
      <w:proofErr w:type="spellEnd"/>
      <w:r w:rsidRPr="004C0190">
        <w:rPr>
          <w:sz w:val="26"/>
          <w:szCs w:val="26"/>
        </w:rPr>
        <w:t>./</w:t>
      </w:r>
      <w:proofErr w:type="spellStart"/>
      <w:r w:rsidRPr="004C0190">
        <w:rPr>
          <w:sz w:val="26"/>
          <w:szCs w:val="26"/>
        </w:rPr>
        <w:t>куб.м</w:t>
      </w:r>
      <w:proofErr w:type="spellEnd"/>
      <w:r w:rsidRPr="004C0190">
        <w:rPr>
          <w:sz w:val="26"/>
          <w:szCs w:val="26"/>
        </w:rPr>
        <w:t xml:space="preserve"> холодной воды в час присоединенной мощности (без НДС),</w:t>
      </w:r>
    </w:p>
    <w:p w:rsidR="008602F6" w:rsidRPr="004C0190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-  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централизованных систем водоснабжения:</w:t>
      </w:r>
    </w:p>
    <w:p w:rsidR="008602F6" w:rsidRPr="004C0190" w:rsidRDefault="008602F6" w:rsidP="00860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4C0190">
        <w:rPr>
          <w:sz w:val="26"/>
          <w:szCs w:val="26"/>
        </w:rPr>
        <w:t>п</w:t>
      </w:r>
      <w:proofErr w:type="gramEnd"/>
      <w:r w:rsidRPr="004C0190">
        <w:rPr>
          <w:sz w:val="26"/>
          <w:szCs w:val="26"/>
        </w:rPr>
        <w:t>/п</w:t>
      </w:r>
      <w:r w:rsidRPr="004C0190">
        <w:rPr>
          <w:sz w:val="26"/>
          <w:szCs w:val="26"/>
        </w:rPr>
        <w:tab/>
        <w:t>Диаметр трубы (мм)</w:t>
      </w:r>
      <w:r w:rsidRPr="004C0190">
        <w:rPr>
          <w:sz w:val="26"/>
          <w:szCs w:val="26"/>
        </w:rPr>
        <w:tab/>
        <w:t>Ставка тарифа,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 за 1 </w:t>
      </w:r>
      <w:proofErr w:type="spellStart"/>
      <w:r>
        <w:rPr>
          <w:sz w:val="26"/>
          <w:szCs w:val="26"/>
        </w:rPr>
        <w:t>п.м</w:t>
      </w:r>
      <w:proofErr w:type="spellEnd"/>
      <w:r>
        <w:rPr>
          <w:sz w:val="26"/>
          <w:szCs w:val="26"/>
        </w:rPr>
        <w:t xml:space="preserve"> (без НДС) </w:t>
      </w:r>
      <w:r w:rsidRPr="002163C4">
        <w:rPr>
          <w:sz w:val="26"/>
          <w:szCs w:val="26"/>
        </w:rPr>
        <w:t>2019 год</w:t>
      </w:r>
    </w:p>
    <w:p w:rsidR="008602F6" w:rsidRPr="004C0190" w:rsidRDefault="008602F6" w:rsidP="00860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ab/>
        <w:t>условие прокладки - одна нить трубопровода в одной траншее:</w:t>
      </w:r>
      <w:r w:rsidRPr="004C0190">
        <w:rPr>
          <w:sz w:val="26"/>
          <w:szCs w:val="26"/>
        </w:rPr>
        <w:tab/>
      </w:r>
      <w:r w:rsidRPr="004C0190">
        <w:rPr>
          <w:sz w:val="26"/>
          <w:szCs w:val="26"/>
        </w:rPr>
        <w:tab/>
      </w:r>
    </w:p>
    <w:p w:rsidR="008602F6" w:rsidRPr="004C0190" w:rsidRDefault="008602F6" w:rsidP="00860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1</w:t>
      </w:r>
      <w:r w:rsidRPr="004C0190">
        <w:rPr>
          <w:sz w:val="26"/>
          <w:szCs w:val="26"/>
        </w:rPr>
        <w:tab/>
        <w:t>63 и менее</w:t>
      </w:r>
      <w:r w:rsidRPr="004C0190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18,02     </w:t>
      </w:r>
    </w:p>
    <w:p w:rsidR="008602F6" w:rsidRPr="004C0190" w:rsidRDefault="008602F6" w:rsidP="00860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2</w:t>
      </w:r>
      <w:r w:rsidRPr="004C0190">
        <w:rPr>
          <w:sz w:val="26"/>
          <w:szCs w:val="26"/>
        </w:rPr>
        <w:tab/>
        <w:t>от 63 до 75 (включительно)</w:t>
      </w:r>
      <w:r w:rsidRPr="004C0190">
        <w:rPr>
          <w:sz w:val="26"/>
          <w:szCs w:val="26"/>
        </w:rPr>
        <w:tab/>
      </w:r>
      <w:r w:rsidRPr="004C0190">
        <w:rPr>
          <w:sz w:val="26"/>
          <w:szCs w:val="26"/>
        </w:rPr>
        <w:tab/>
        <w:t>18,16</w:t>
      </w:r>
    </w:p>
    <w:p w:rsidR="008602F6" w:rsidRPr="004C0190" w:rsidRDefault="008602F6" w:rsidP="00860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3</w:t>
      </w:r>
      <w:r w:rsidRPr="004C0190">
        <w:rPr>
          <w:sz w:val="26"/>
          <w:szCs w:val="26"/>
        </w:rPr>
        <w:tab/>
        <w:t>от 75 до 100 (включительно)</w:t>
      </w:r>
      <w:r w:rsidRPr="004C0190">
        <w:rPr>
          <w:sz w:val="26"/>
          <w:szCs w:val="26"/>
        </w:rPr>
        <w:tab/>
      </w:r>
      <w:r w:rsidRPr="004C0190">
        <w:rPr>
          <w:sz w:val="26"/>
          <w:szCs w:val="26"/>
        </w:rPr>
        <w:tab/>
        <w:t>20,22</w:t>
      </w:r>
    </w:p>
    <w:p w:rsidR="008602F6" w:rsidRPr="004C0190" w:rsidRDefault="008602F6" w:rsidP="00860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4</w:t>
      </w:r>
      <w:r w:rsidRPr="004C0190">
        <w:rPr>
          <w:sz w:val="26"/>
          <w:szCs w:val="26"/>
        </w:rPr>
        <w:tab/>
        <w:t>от 100 до 150 (включительно)</w:t>
      </w:r>
      <w:r w:rsidRPr="004C0190">
        <w:rPr>
          <w:sz w:val="26"/>
          <w:szCs w:val="26"/>
        </w:rPr>
        <w:tab/>
      </w:r>
      <w:r w:rsidRPr="004C0190">
        <w:rPr>
          <w:sz w:val="26"/>
          <w:szCs w:val="26"/>
        </w:rPr>
        <w:tab/>
        <w:t>20,96</w:t>
      </w:r>
    </w:p>
    <w:p w:rsidR="008602F6" w:rsidRPr="004C0190" w:rsidRDefault="008602F6" w:rsidP="00860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5</w:t>
      </w:r>
      <w:r w:rsidRPr="004C0190">
        <w:rPr>
          <w:sz w:val="26"/>
          <w:szCs w:val="26"/>
        </w:rPr>
        <w:tab/>
        <w:t>от 150 до 200 (включительно)</w:t>
      </w:r>
      <w:r w:rsidRPr="004C0190">
        <w:rPr>
          <w:sz w:val="26"/>
          <w:szCs w:val="26"/>
        </w:rPr>
        <w:tab/>
      </w:r>
      <w:r w:rsidRPr="004C0190">
        <w:rPr>
          <w:sz w:val="26"/>
          <w:szCs w:val="26"/>
        </w:rPr>
        <w:tab/>
        <w:t>22,06</w:t>
      </w:r>
    </w:p>
    <w:p w:rsidR="008602F6" w:rsidRPr="004C0190" w:rsidRDefault="008602F6" w:rsidP="00860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6</w:t>
      </w:r>
      <w:r w:rsidRPr="004C0190">
        <w:rPr>
          <w:sz w:val="26"/>
          <w:szCs w:val="26"/>
        </w:rPr>
        <w:tab/>
        <w:t>от 200 до 250 (включительно)</w:t>
      </w:r>
      <w:r w:rsidRPr="004C0190">
        <w:rPr>
          <w:sz w:val="26"/>
          <w:szCs w:val="26"/>
        </w:rPr>
        <w:tab/>
      </w:r>
      <w:r>
        <w:rPr>
          <w:sz w:val="26"/>
          <w:szCs w:val="26"/>
        </w:rPr>
        <w:tab/>
        <w:t>23,17</w:t>
      </w:r>
    </w:p>
    <w:p w:rsidR="008602F6" w:rsidRPr="004C0190" w:rsidRDefault="008602F6" w:rsidP="00860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4C0190">
        <w:rPr>
          <w:sz w:val="26"/>
          <w:szCs w:val="26"/>
        </w:rPr>
        <w:tab/>
        <w:t>от 250 до 300 (включительно)</w:t>
      </w:r>
      <w:r w:rsidRPr="004C0190">
        <w:rPr>
          <w:sz w:val="26"/>
          <w:szCs w:val="26"/>
        </w:rPr>
        <w:tab/>
      </w:r>
      <w:r w:rsidRPr="004C0190">
        <w:rPr>
          <w:sz w:val="26"/>
          <w:szCs w:val="26"/>
        </w:rPr>
        <w:tab/>
        <w:t>27,21</w:t>
      </w:r>
    </w:p>
    <w:p w:rsidR="008602F6" w:rsidRPr="004C0190" w:rsidRDefault="008602F6" w:rsidP="00860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8</w:t>
      </w:r>
      <w:r w:rsidRPr="004C0190">
        <w:rPr>
          <w:sz w:val="26"/>
          <w:szCs w:val="26"/>
        </w:rPr>
        <w:tab/>
        <w:t>от 300 до 400 (включительно)</w:t>
      </w:r>
      <w:r w:rsidRPr="004C0190">
        <w:rPr>
          <w:sz w:val="26"/>
          <w:szCs w:val="26"/>
        </w:rPr>
        <w:tab/>
      </w:r>
      <w:r w:rsidRPr="004C0190">
        <w:rPr>
          <w:sz w:val="26"/>
          <w:szCs w:val="26"/>
        </w:rPr>
        <w:tab/>
        <w:t>32,73</w:t>
      </w:r>
    </w:p>
    <w:p w:rsidR="008602F6" w:rsidRPr="004C0190" w:rsidRDefault="008602F6" w:rsidP="00860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9</w:t>
      </w:r>
      <w:r w:rsidRPr="004C0190">
        <w:rPr>
          <w:sz w:val="26"/>
          <w:szCs w:val="26"/>
        </w:rPr>
        <w:tab/>
        <w:t>от 400 до 500 (включительно)</w:t>
      </w:r>
      <w:r w:rsidRPr="004C0190">
        <w:rPr>
          <w:sz w:val="26"/>
          <w:szCs w:val="26"/>
        </w:rPr>
        <w:tab/>
      </w:r>
      <w:r w:rsidRPr="004C0190">
        <w:rPr>
          <w:sz w:val="26"/>
          <w:szCs w:val="26"/>
        </w:rPr>
        <w:tab/>
        <w:t>36,77</w:t>
      </w:r>
    </w:p>
    <w:p w:rsidR="008602F6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190">
        <w:rPr>
          <w:sz w:val="26"/>
          <w:szCs w:val="26"/>
        </w:rPr>
        <w:t>Дата окончания срока действия</w:t>
      </w:r>
      <w:r>
        <w:rPr>
          <w:sz w:val="26"/>
          <w:szCs w:val="26"/>
        </w:rPr>
        <w:t xml:space="preserve"> указанных тарифов - 31.12.2019.</w:t>
      </w:r>
    </w:p>
    <w:p w:rsidR="008602F6" w:rsidRPr="007420D4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 xml:space="preserve">отсутствуют. </w:t>
      </w: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теплоснабжения.</w:t>
      </w:r>
    </w:p>
    <w:p w:rsidR="008602F6" w:rsidRPr="007420D4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8602F6" w:rsidRDefault="008602F6" w:rsidP="008602F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>Электроснабжение – техниче</w:t>
      </w:r>
      <w:bookmarkStart w:id="0" w:name="_GoBack"/>
      <w:bookmarkEnd w:id="0"/>
      <w:r w:rsidRPr="008D3B96">
        <w:rPr>
          <w:bCs/>
          <w:sz w:val="26"/>
          <w:szCs w:val="26"/>
        </w:rPr>
        <w:t xml:space="preserve">ские условия подключения объекта к электрическим сетям предоставляются АО «Региональные электрические сети» (далее – АО «РЭС»), город Новосибирск, улица </w:t>
      </w:r>
      <w:r>
        <w:rPr>
          <w:bCs/>
          <w:sz w:val="26"/>
          <w:szCs w:val="26"/>
        </w:rPr>
        <w:t xml:space="preserve">С. </w:t>
      </w:r>
      <w:proofErr w:type="spellStart"/>
      <w:r>
        <w:rPr>
          <w:bCs/>
          <w:sz w:val="26"/>
          <w:szCs w:val="26"/>
        </w:rPr>
        <w:t>Шамшиных</w:t>
      </w:r>
      <w:proofErr w:type="spellEnd"/>
      <w:r>
        <w:rPr>
          <w:bCs/>
          <w:sz w:val="26"/>
          <w:szCs w:val="26"/>
        </w:rPr>
        <w:t>, дом 80</w:t>
      </w:r>
      <w:r w:rsidRPr="008D3B96">
        <w:rPr>
          <w:bCs/>
          <w:sz w:val="26"/>
          <w:szCs w:val="26"/>
        </w:rPr>
        <w:t xml:space="preserve">. </w:t>
      </w:r>
    </w:p>
    <w:p w:rsidR="008602F6" w:rsidRPr="002163C4" w:rsidRDefault="008602F6" w:rsidP="008602F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63C4">
        <w:rPr>
          <w:bCs/>
          <w:sz w:val="26"/>
          <w:szCs w:val="26"/>
        </w:rPr>
        <w:t xml:space="preserve">Вышеуказанный объект расположен в зоне действия ПС 220 </w:t>
      </w:r>
      <w:proofErr w:type="spellStart"/>
      <w:r w:rsidRPr="002163C4">
        <w:rPr>
          <w:bCs/>
          <w:sz w:val="26"/>
          <w:szCs w:val="26"/>
        </w:rPr>
        <w:t>кВ</w:t>
      </w:r>
      <w:proofErr w:type="spellEnd"/>
      <w:r w:rsidRPr="002163C4">
        <w:rPr>
          <w:bCs/>
          <w:sz w:val="26"/>
          <w:szCs w:val="26"/>
        </w:rPr>
        <w:t xml:space="preserve"> </w:t>
      </w:r>
      <w:proofErr w:type="gramStart"/>
      <w:r w:rsidRPr="002163C4">
        <w:rPr>
          <w:bCs/>
          <w:sz w:val="26"/>
          <w:szCs w:val="26"/>
        </w:rPr>
        <w:t>Строительная</w:t>
      </w:r>
      <w:proofErr w:type="gramEnd"/>
      <w:r w:rsidRPr="002163C4">
        <w:rPr>
          <w:bCs/>
          <w:sz w:val="26"/>
          <w:szCs w:val="26"/>
        </w:rPr>
        <w:t xml:space="preserve"> (10 </w:t>
      </w:r>
      <w:proofErr w:type="spellStart"/>
      <w:r w:rsidRPr="002163C4">
        <w:rPr>
          <w:bCs/>
          <w:sz w:val="26"/>
          <w:szCs w:val="26"/>
        </w:rPr>
        <w:t>кВ</w:t>
      </w:r>
      <w:proofErr w:type="spellEnd"/>
      <w:r w:rsidRPr="002163C4">
        <w:rPr>
          <w:bCs/>
          <w:sz w:val="26"/>
          <w:szCs w:val="26"/>
        </w:rPr>
        <w:t>), входящей в зону эксплуатационной ответственности АО «РЭС».</w:t>
      </w:r>
    </w:p>
    <w:p w:rsidR="008602F6" w:rsidRPr="002163C4" w:rsidRDefault="008602F6" w:rsidP="008602F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63C4">
        <w:rPr>
          <w:bCs/>
          <w:sz w:val="26"/>
          <w:szCs w:val="26"/>
        </w:rPr>
        <w:t>Согласно информации, размещ</w:t>
      </w:r>
      <w:r>
        <w:rPr>
          <w:bCs/>
          <w:sz w:val="26"/>
          <w:szCs w:val="26"/>
        </w:rPr>
        <w:t>е</w:t>
      </w:r>
      <w:r w:rsidRPr="002163C4">
        <w:rPr>
          <w:bCs/>
          <w:sz w:val="26"/>
          <w:szCs w:val="26"/>
        </w:rPr>
        <w:t>нной на офици</w:t>
      </w:r>
      <w:r>
        <w:rPr>
          <w:bCs/>
          <w:sz w:val="26"/>
          <w:szCs w:val="26"/>
        </w:rPr>
        <w:t>альном сайте АО «РЭС» - www.ese</w:t>
      </w:r>
      <w:r>
        <w:rPr>
          <w:bCs/>
          <w:sz w:val="26"/>
          <w:szCs w:val="26"/>
          <w:lang w:val="en-US"/>
        </w:rPr>
        <w:t>t</w:t>
      </w:r>
      <w:r w:rsidRPr="002163C4">
        <w:rPr>
          <w:bCs/>
          <w:sz w:val="26"/>
          <w:szCs w:val="26"/>
        </w:rPr>
        <w:t xml:space="preserve">i.ru, объем свободной для технологического присоединения потребителей трансформаторной мощности по ПС 220 </w:t>
      </w:r>
      <w:proofErr w:type="spellStart"/>
      <w:r w:rsidRPr="002163C4">
        <w:rPr>
          <w:bCs/>
          <w:sz w:val="26"/>
          <w:szCs w:val="26"/>
        </w:rPr>
        <w:t>кВ</w:t>
      </w:r>
      <w:proofErr w:type="spellEnd"/>
      <w:r w:rsidRPr="002163C4">
        <w:rPr>
          <w:bCs/>
          <w:sz w:val="26"/>
          <w:szCs w:val="26"/>
        </w:rPr>
        <w:t xml:space="preserve"> </w:t>
      </w:r>
      <w:proofErr w:type="gramStart"/>
      <w:r w:rsidRPr="002163C4">
        <w:rPr>
          <w:bCs/>
          <w:sz w:val="26"/>
          <w:szCs w:val="26"/>
        </w:rPr>
        <w:t>Строительная</w:t>
      </w:r>
      <w:proofErr w:type="gramEnd"/>
      <w:r w:rsidRPr="002163C4">
        <w:rPr>
          <w:bCs/>
          <w:sz w:val="26"/>
          <w:szCs w:val="26"/>
        </w:rPr>
        <w:t xml:space="preserve"> (10 </w:t>
      </w:r>
      <w:proofErr w:type="spellStart"/>
      <w:r w:rsidRPr="002163C4">
        <w:rPr>
          <w:bCs/>
          <w:sz w:val="26"/>
          <w:szCs w:val="26"/>
        </w:rPr>
        <w:t>кВ</w:t>
      </w:r>
      <w:proofErr w:type="spellEnd"/>
      <w:r w:rsidRPr="002163C4">
        <w:rPr>
          <w:bCs/>
          <w:sz w:val="26"/>
          <w:szCs w:val="26"/>
        </w:rPr>
        <w:t>) отсутствует.</w:t>
      </w:r>
    </w:p>
    <w:p w:rsidR="008602F6" w:rsidRPr="002163C4" w:rsidRDefault="008602F6" w:rsidP="008602F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63C4">
        <w:rPr>
          <w:bCs/>
          <w:sz w:val="26"/>
          <w:szCs w:val="26"/>
        </w:rPr>
        <w:t xml:space="preserve">Технологическое присоединение объекта к электрическим сетям ПС 220 </w:t>
      </w:r>
      <w:proofErr w:type="spellStart"/>
      <w:r w:rsidRPr="002163C4">
        <w:rPr>
          <w:bCs/>
          <w:sz w:val="26"/>
          <w:szCs w:val="26"/>
        </w:rPr>
        <w:t>кВ</w:t>
      </w:r>
      <w:proofErr w:type="spellEnd"/>
      <w:r w:rsidRPr="002163C4">
        <w:rPr>
          <w:bCs/>
          <w:sz w:val="26"/>
          <w:szCs w:val="26"/>
        </w:rPr>
        <w:t xml:space="preserve"> </w:t>
      </w:r>
      <w:proofErr w:type="gramStart"/>
      <w:r w:rsidRPr="002163C4">
        <w:rPr>
          <w:bCs/>
          <w:sz w:val="26"/>
          <w:szCs w:val="26"/>
        </w:rPr>
        <w:t>Строительная</w:t>
      </w:r>
      <w:proofErr w:type="gramEnd"/>
      <w:r w:rsidRPr="002163C4">
        <w:rPr>
          <w:bCs/>
          <w:sz w:val="26"/>
          <w:szCs w:val="26"/>
        </w:rPr>
        <w:t xml:space="preserve"> (10 </w:t>
      </w:r>
      <w:proofErr w:type="spellStart"/>
      <w:r w:rsidRPr="002163C4">
        <w:rPr>
          <w:bCs/>
          <w:sz w:val="26"/>
          <w:szCs w:val="26"/>
        </w:rPr>
        <w:t>кВ</w:t>
      </w:r>
      <w:proofErr w:type="spellEnd"/>
      <w:r w:rsidRPr="002163C4">
        <w:rPr>
          <w:bCs/>
          <w:sz w:val="26"/>
          <w:szCs w:val="26"/>
        </w:rPr>
        <w:t>) возможно при условии выполнения следующих мероприятий:</w:t>
      </w:r>
    </w:p>
    <w:p w:rsidR="008602F6" w:rsidRPr="002163C4" w:rsidRDefault="008602F6" w:rsidP="008602F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63C4">
        <w:rPr>
          <w:bCs/>
          <w:sz w:val="26"/>
          <w:szCs w:val="26"/>
        </w:rPr>
        <w:lastRenderedPageBreak/>
        <w:t xml:space="preserve">1)  Урегулирование отношений с собственником ПС 220 </w:t>
      </w:r>
      <w:proofErr w:type="spellStart"/>
      <w:r w:rsidRPr="002163C4">
        <w:rPr>
          <w:bCs/>
          <w:sz w:val="26"/>
          <w:szCs w:val="26"/>
        </w:rPr>
        <w:t>кВ</w:t>
      </w:r>
      <w:proofErr w:type="spellEnd"/>
      <w:r w:rsidRPr="002163C4">
        <w:rPr>
          <w:bCs/>
          <w:sz w:val="26"/>
          <w:szCs w:val="26"/>
        </w:rPr>
        <w:t xml:space="preserve"> </w:t>
      </w:r>
      <w:proofErr w:type="gramStart"/>
      <w:r w:rsidRPr="002163C4">
        <w:rPr>
          <w:bCs/>
          <w:sz w:val="26"/>
          <w:szCs w:val="26"/>
        </w:rPr>
        <w:t>Строительная</w:t>
      </w:r>
      <w:proofErr w:type="gramEnd"/>
      <w:r w:rsidRPr="002163C4">
        <w:rPr>
          <w:bCs/>
          <w:sz w:val="26"/>
          <w:szCs w:val="26"/>
        </w:rPr>
        <w:t xml:space="preserve"> в части выполнения организационно-технических мероприятий по замене силового оборудования на ПС на оборудован</w:t>
      </w:r>
      <w:r>
        <w:rPr>
          <w:bCs/>
          <w:sz w:val="26"/>
          <w:szCs w:val="26"/>
        </w:rPr>
        <w:t>ие большей номинальной мощности;</w:t>
      </w:r>
    </w:p>
    <w:p w:rsidR="008602F6" w:rsidRPr="002163C4" w:rsidRDefault="008602F6" w:rsidP="008602F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63C4">
        <w:rPr>
          <w:bCs/>
          <w:sz w:val="26"/>
          <w:szCs w:val="26"/>
        </w:rPr>
        <w:t xml:space="preserve">2)  Установка (строительство) трансформаторной подстанции напряжением 10/0,4 </w:t>
      </w:r>
      <w:proofErr w:type="spellStart"/>
      <w:r w:rsidRPr="002163C4">
        <w:rPr>
          <w:bCs/>
          <w:sz w:val="26"/>
          <w:szCs w:val="26"/>
        </w:rPr>
        <w:t>кВ</w:t>
      </w:r>
      <w:proofErr w:type="spellEnd"/>
      <w:r w:rsidRPr="002163C4">
        <w:rPr>
          <w:bCs/>
          <w:sz w:val="26"/>
          <w:szCs w:val="26"/>
        </w:rPr>
        <w:t>;</w:t>
      </w:r>
    </w:p>
    <w:p w:rsidR="008602F6" w:rsidRPr="002163C4" w:rsidRDefault="008602F6" w:rsidP="008602F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63C4">
        <w:rPr>
          <w:bCs/>
          <w:sz w:val="26"/>
          <w:szCs w:val="26"/>
        </w:rPr>
        <w:t xml:space="preserve">3)  Строительство электрических сетей 10-0,4 </w:t>
      </w:r>
      <w:proofErr w:type="spellStart"/>
      <w:r w:rsidRPr="002163C4">
        <w:rPr>
          <w:bCs/>
          <w:sz w:val="26"/>
          <w:szCs w:val="26"/>
        </w:rPr>
        <w:t>кВ</w:t>
      </w:r>
      <w:proofErr w:type="spellEnd"/>
      <w:r w:rsidRPr="002163C4">
        <w:rPr>
          <w:bCs/>
          <w:sz w:val="26"/>
          <w:szCs w:val="26"/>
        </w:rPr>
        <w:t xml:space="preserve"> в необходимом объ</w:t>
      </w:r>
      <w:r>
        <w:rPr>
          <w:bCs/>
          <w:sz w:val="26"/>
          <w:szCs w:val="26"/>
        </w:rPr>
        <w:t>е</w:t>
      </w:r>
      <w:r w:rsidRPr="002163C4">
        <w:rPr>
          <w:bCs/>
          <w:sz w:val="26"/>
          <w:szCs w:val="26"/>
        </w:rPr>
        <w:t>ме.</w:t>
      </w:r>
    </w:p>
    <w:p w:rsidR="008602F6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У</w:t>
      </w:r>
      <w:r w:rsidRPr="002163C4">
        <w:rPr>
          <w:bCs/>
          <w:sz w:val="26"/>
          <w:szCs w:val="26"/>
        </w:rPr>
        <w:t>казанный объем мероприятий является ор</w:t>
      </w:r>
      <w:r>
        <w:rPr>
          <w:bCs/>
          <w:sz w:val="26"/>
          <w:szCs w:val="26"/>
        </w:rPr>
        <w:t>иентировочным и предварительным</w:t>
      </w:r>
      <w:r w:rsidRPr="002163C4">
        <w:rPr>
          <w:bCs/>
          <w:sz w:val="26"/>
          <w:szCs w:val="26"/>
        </w:rPr>
        <w:t>.</w:t>
      </w:r>
    </w:p>
    <w:p w:rsidR="008602F6" w:rsidRPr="007420D4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8602F6" w:rsidRPr="007420D4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8602F6" w:rsidRPr="006754E3" w:rsidRDefault="008602F6" w:rsidP="008602F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>отсутствуют</w:t>
      </w:r>
      <w:r w:rsidRPr="006754E3">
        <w:rPr>
          <w:sz w:val="26"/>
          <w:szCs w:val="26"/>
        </w:rPr>
        <w:t>.</w:t>
      </w:r>
    </w:p>
    <w:p w:rsidR="008602F6" w:rsidRPr="006754E3" w:rsidRDefault="008602F6" w:rsidP="008602F6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6754E3">
        <w:rPr>
          <w:rStyle w:val="a3"/>
          <w:b w:val="0"/>
          <w:sz w:val="26"/>
          <w:szCs w:val="26"/>
        </w:rPr>
        <w:t xml:space="preserve"> </w:t>
      </w:r>
    </w:p>
    <w:p w:rsidR="008602F6" w:rsidRPr="006754E3" w:rsidRDefault="008602F6" w:rsidP="008602F6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8602F6" w:rsidRPr="006754E3" w:rsidRDefault="008602F6" w:rsidP="008602F6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8602F6" w:rsidRPr="006754E3" w:rsidRDefault="008602F6" w:rsidP="008602F6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6754E3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12 августа</w:t>
      </w:r>
      <w:r w:rsidRPr="006754E3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09 сентября</w:t>
      </w:r>
      <w:r w:rsidRPr="006754E3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09 сентября</w:t>
      </w:r>
      <w:r w:rsidRPr="006754E3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6754E3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8602F6" w:rsidRPr="006754E3" w:rsidRDefault="008602F6" w:rsidP="008602F6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8602F6" w:rsidRPr="006754E3" w:rsidRDefault="008602F6" w:rsidP="008602F6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09 сентября</w:t>
      </w:r>
      <w:r w:rsidRPr="006754E3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8602F6" w:rsidRPr="006754E3" w:rsidRDefault="008602F6" w:rsidP="008602F6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8602F6" w:rsidRPr="006754E3" w:rsidRDefault="008602F6" w:rsidP="008602F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6754E3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6754E3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8602F6" w:rsidRPr="006754E3" w:rsidRDefault="008602F6" w:rsidP="008602F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8602F6" w:rsidRPr="006754E3" w:rsidRDefault="008602F6" w:rsidP="008602F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6754E3">
        <w:rPr>
          <w:sz w:val="26"/>
          <w:szCs w:val="26"/>
        </w:rPr>
        <w:t xml:space="preserve">на русский язык документов о государственной регистрации юридического лица в соответствии с законодательством </w:t>
      </w:r>
      <w:r w:rsidRPr="006754E3">
        <w:rPr>
          <w:sz w:val="26"/>
          <w:szCs w:val="26"/>
        </w:rPr>
        <w:lastRenderedPageBreak/>
        <w:t>иностранного государства в случае</w:t>
      </w:r>
      <w:proofErr w:type="gramEnd"/>
      <w:r w:rsidRPr="006754E3">
        <w:rPr>
          <w:sz w:val="26"/>
          <w:szCs w:val="26"/>
        </w:rPr>
        <w:t>, если заявителем является иностранное юридическое лицо;</w:t>
      </w:r>
    </w:p>
    <w:p w:rsidR="008602F6" w:rsidRPr="006754E3" w:rsidRDefault="008602F6" w:rsidP="008602F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8602F6" w:rsidRPr="006754E3" w:rsidRDefault="008602F6" w:rsidP="008602F6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8602F6" w:rsidRPr="006754E3" w:rsidRDefault="008602F6" w:rsidP="008602F6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130 000 (сто тридцать тысяч</w:t>
      </w:r>
      <w:r w:rsidRPr="006754E3">
        <w:rPr>
          <w:rStyle w:val="a3"/>
          <w:b w:val="0"/>
          <w:sz w:val="26"/>
          <w:szCs w:val="26"/>
        </w:rPr>
        <w:t>) рублей 00 коп.</w:t>
      </w:r>
    </w:p>
    <w:p w:rsidR="008602F6" w:rsidRPr="006754E3" w:rsidRDefault="008602F6" w:rsidP="008602F6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8602F6" w:rsidRPr="007420D4" w:rsidRDefault="008602F6" w:rsidP="008602F6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8602F6" w:rsidRPr="007420D4" w:rsidRDefault="008602F6" w:rsidP="008602F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54:19:034001:4541</w:t>
      </w:r>
      <w:r w:rsidRPr="007420D4">
        <w:rPr>
          <w:rStyle w:val="a3"/>
          <w:b w:val="0"/>
          <w:sz w:val="26"/>
          <w:szCs w:val="26"/>
        </w:rPr>
        <w:t>.</w:t>
      </w:r>
    </w:p>
    <w:p w:rsidR="008602F6" w:rsidRPr="007420D4" w:rsidRDefault="008602F6" w:rsidP="008602F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8602F6" w:rsidRPr="007420D4" w:rsidRDefault="008602F6" w:rsidP="008602F6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8602F6" w:rsidRPr="007420D4" w:rsidRDefault="008602F6" w:rsidP="008602F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8602F6" w:rsidRPr="007420D4" w:rsidRDefault="008602F6" w:rsidP="008602F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8602F6" w:rsidRPr="007420D4" w:rsidRDefault="008602F6" w:rsidP="008602F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8602F6" w:rsidRPr="007420D4" w:rsidRDefault="008602F6" w:rsidP="008602F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602F6" w:rsidRPr="007420D4" w:rsidRDefault="008602F6" w:rsidP="008602F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8602F6" w:rsidRPr="007420D4" w:rsidRDefault="008602F6" w:rsidP="008602F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8602F6" w:rsidRPr="007420D4" w:rsidRDefault="008602F6" w:rsidP="008602F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8602F6" w:rsidRPr="007420D4" w:rsidRDefault="008602F6" w:rsidP="008602F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8602F6" w:rsidRPr="007420D4" w:rsidRDefault="008602F6" w:rsidP="008602F6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8602F6" w:rsidRPr="007420D4" w:rsidRDefault="008602F6" w:rsidP="008602F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11 сентября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14:45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8602F6" w:rsidRPr="007420D4" w:rsidRDefault="008602F6" w:rsidP="008602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</w:t>
      </w:r>
      <w:r w:rsidRPr="007420D4">
        <w:rPr>
          <w:sz w:val="26"/>
          <w:szCs w:val="26"/>
        </w:rPr>
        <w:lastRenderedPageBreak/>
        <w:t xml:space="preserve">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8602F6" w:rsidRPr="007420D4" w:rsidRDefault="008602F6" w:rsidP="008602F6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13 сентября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14:00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8602F6" w:rsidRPr="007420D4" w:rsidRDefault="008602F6" w:rsidP="008602F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13 сентября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8602F6" w:rsidRPr="007420D4" w:rsidRDefault="008602F6" w:rsidP="008602F6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8602F6" w:rsidRPr="007420D4" w:rsidRDefault="008602F6" w:rsidP="008602F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8602F6" w:rsidRPr="007420D4" w:rsidRDefault="008602F6" w:rsidP="008602F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32 месяца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8602F6" w:rsidRPr="007420D4" w:rsidRDefault="008602F6" w:rsidP="008602F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7420D4">
        <w:rPr>
          <w:rStyle w:val="a3"/>
          <w:b w:val="0"/>
          <w:sz w:val="26"/>
          <w:szCs w:val="26"/>
        </w:rPr>
        <w:t>расчетным</w:t>
      </w:r>
      <w:proofErr w:type="gramEnd"/>
      <w:r w:rsidRPr="007420D4">
        <w:rPr>
          <w:rStyle w:val="a3"/>
          <w:b w:val="0"/>
          <w:sz w:val="26"/>
          <w:szCs w:val="26"/>
        </w:rPr>
        <w:t>.</w:t>
      </w:r>
    </w:p>
    <w:p w:rsidR="008602F6" w:rsidRPr="007420D4" w:rsidRDefault="008602F6" w:rsidP="008602F6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8602F6" w:rsidRPr="007420D4" w:rsidRDefault="008602F6" w:rsidP="008602F6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602F6" w:rsidRPr="007420D4" w:rsidRDefault="008602F6" w:rsidP="008602F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8602F6" w:rsidRPr="007420D4" w:rsidRDefault="008602F6" w:rsidP="008602F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8602F6" w:rsidRPr="007420D4" w:rsidRDefault="008602F6" w:rsidP="008602F6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8602F6" w:rsidRPr="007420D4" w:rsidRDefault="008602F6" w:rsidP="008602F6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8602F6" w:rsidRDefault="008602F6" w:rsidP="008602F6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аукционе.</w:t>
      </w:r>
    </w:p>
    <w:sectPr w:rsidR="00B1412F" w:rsidRPr="008602F6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02F6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071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067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0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1D9C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251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6BD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0802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5605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4818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D7F35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11C7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2F6"/>
    <w:rsid w:val="00860547"/>
    <w:rsid w:val="00861977"/>
    <w:rsid w:val="0086695B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128C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63F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DA9D6-7536-46E8-9432-024E9E15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7</Pages>
  <Words>2331</Words>
  <Characters>16760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19053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372</cp:revision>
  <cp:lastPrinted>2017-07-05T08:05:00Z</cp:lastPrinted>
  <dcterms:created xsi:type="dcterms:W3CDTF">2015-10-13T08:17:00Z</dcterms:created>
  <dcterms:modified xsi:type="dcterms:W3CDTF">2019-08-02T07:58:00Z</dcterms:modified>
</cp:coreProperties>
</file>