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892FBF">
        <w:rPr>
          <w:sz w:val="26"/>
          <w:szCs w:val="26"/>
        </w:rPr>
        <w:t>ии ау</w:t>
      </w:r>
      <w:proofErr w:type="gramEnd"/>
      <w:r w:rsidRPr="00892FBF">
        <w:rPr>
          <w:sz w:val="26"/>
          <w:szCs w:val="26"/>
        </w:rPr>
        <w:t>кциона на право заключения договора аренды земельного участка.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>Организатор аукциона:</w:t>
      </w:r>
      <w:r w:rsidRPr="00892FBF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/>
          <w:sz w:val="26"/>
          <w:szCs w:val="26"/>
        </w:rPr>
        <w:t>Орган, уполномоченный на распоряжение земельным участком:</w:t>
      </w:r>
      <w:r w:rsidRPr="00892FBF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>Реквизиты решения о проведен</w:t>
      </w:r>
      <w:proofErr w:type="gramStart"/>
      <w:r w:rsidRPr="00892FBF">
        <w:rPr>
          <w:b/>
          <w:bCs/>
          <w:sz w:val="26"/>
          <w:szCs w:val="26"/>
        </w:rPr>
        <w:t>ии ау</w:t>
      </w:r>
      <w:proofErr w:type="gramEnd"/>
      <w:r w:rsidRPr="00892FBF">
        <w:rPr>
          <w:b/>
          <w:bCs/>
          <w:sz w:val="26"/>
          <w:szCs w:val="26"/>
        </w:rPr>
        <w:t>кциона:</w:t>
      </w:r>
      <w:r w:rsidRPr="00892FBF">
        <w:rPr>
          <w:sz w:val="26"/>
          <w:szCs w:val="26"/>
        </w:rPr>
        <w:t xml:space="preserve"> приказ департамента имущества и земельных отношений Новосибирской области от 23.01.2020 № 175 «О проведении аукциона на право заключения договора аренды земельного участка с кадастровым номером 54:07:047412:1469».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>Место проведения аукциона:</w:t>
      </w:r>
      <w:r w:rsidRPr="00892FBF">
        <w:rPr>
          <w:sz w:val="26"/>
          <w:szCs w:val="26"/>
        </w:rPr>
        <w:t xml:space="preserve"> </w:t>
      </w:r>
      <w:r w:rsidRPr="00892FBF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>Дата проведения аукциона:</w:t>
      </w:r>
      <w:r w:rsidRPr="00892FBF">
        <w:rPr>
          <w:sz w:val="26"/>
          <w:szCs w:val="26"/>
        </w:rPr>
        <w:t xml:space="preserve"> 17 июля 2020 года.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Время проведения аукциона: 12:00 по местному времени.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>Порядок проведения аукциона:</w:t>
      </w:r>
      <w:r w:rsidRPr="00892FBF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>Предмет аукциона:</w:t>
      </w:r>
      <w:r w:rsidRPr="00892FBF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892FBF" w:rsidRPr="00892FBF" w:rsidRDefault="00892FBF" w:rsidP="00892FBF">
      <w:pPr>
        <w:keepNext/>
        <w:ind w:firstLine="709"/>
        <w:jc w:val="center"/>
        <w:rPr>
          <w:b/>
          <w:bCs/>
        </w:rPr>
      </w:pPr>
    </w:p>
    <w:p w:rsidR="00892FBF" w:rsidRPr="00892FBF" w:rsidRDefault="00892FBF" w:rsidP="00892FBF">
      <w:pPr>
        <w:keepNext/>
        <w:ind w:firstLine="709"/>
        <w:jc w:val="center"/>
        <w:rPr>
          <w:b/>
          <w:bCs/>
          <w:sz w:val="26"/>
          <w:szCs w:val="26"/>
        </w:rPr>
      </w:pPr>
      <w:r w:rsidRPr="00892FBF">
        <w:rPr>
          <w:b/>
          <w:bCs/>
          <w:sz w:val="26"/>
          <w:szCs w:val="26"/>
        </w:rPr>
        <w:t>Лот № 1</w:t>
      </w:r>
    </w:p>
    <w:p w:rsidR="00892FBF" w:rsidRPr="00892FBF" w:rsidRDefault="00892FBF" w:rsidP="00892FBF">
      <w:pPr>
        <w:ind w:firstLine="709"/>
        <w:jc w:val="both"/>
        <w:rPr>
          <w:color w:val="000000"/>
        </w:rPr>
      </w:pPr>
      <w:r w:rsidRPr="00892FBF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54:07:047412:1469, площадью 1199 </w:t>
      </w:r>
      <w:proofErr w:type="spellStart"/>
      <w:r w:rsidRPr="00892FBF">
        <w:rPr>
          <w:sz w:val="26"/>
          <w:szCs w:val="26"/>
        </w:rPr>
        <w:t>кв</w:t>
      </w:r>
      <w:proofErr w:type="gramStart"/>
      <w:r w:rsidRPr="00892FBF">
        <w:rPr>
          <w:sz w:val="26"/>
          <w:szCs w:val="26"/>
        </w:rPr>
        <w:t>.м</w:t>
      </w:r>
      <w:proofErr w:type="spellEnd"/>
      <w:proofErr w:type="gramEnd"/>
      <w:r w:rsidRPr="00892FBF">
        <w:rPr>
          <w:sz w:val="26"/>
          <w:szCs w:val="26"/>
        </w:rPr>
        <w:t xml:space="preserve">, местоположение: Новосибирская область, </w:t>
      </w:r>
      <w:proofErr w:type="spellStart"/>
      <w:r w:rsidRPr="00892FBF">
        <w:rPr>
          <w:sz w:val="26"/>
          <w:szCs w:val="26"/>
        </w:rPr>
        <w:t>Искитимский</w:t>
      </w:r>
      <w:proofErr w:type="spellEnd"/>
      <w:r w:rsidRPr="00892FBF">
        <w:rPr>
          <w:sz w:val="26"/>
          <w:szCs w:val="26"/>
        </w:rPr>
        <w:t xml:space="preserve"> район, МО </w:t>
      </w:r>
      <w:proofErr w:type="spellStart"/>
      <w:r w:rsidRPr="00892FBF">
        <w:rPr>
          <w:sz w:val="26"/>
          <w:szCs w:val="26"/>
        </w:rPr>
        <w:t>Евсинского</w:t>
      </w:r>
      <w:proofErr w:type="spellEnd"/>
      <w:r w:rsidRPr="00892FBF">
        <w:rPr>
          <w:sz w:val="26"/>
          <w:szCs w:val="26"/>
        </w:rPr>
        <w:t xml:space="preserve"> сельсовета, категория земель: земли сельскохозяйственного назначения, разрешенное использование: для сельскохозяйственного производства</w:t>
      </w:r>
      <w:r w:rsidRPr="00892FBF">
        <w:rPr>
          <w:color w:val="000000"/>
          <w:sz w:val="26"/>
          <w:szCs w:val="26"/>
        </w:rPr>
        <w:t xml:space="preserve">.  </w:t>
      </w:r>
    </w:p>
    <w:p w:rsidR="00892FBF" w:rsidRPr="00892FBF" w:rsidRDefault="00892FBF" w:rsidP="00892FBF">
      <w:pPr>
        <w:ind w:firstLine="709"/>
        <w:jc w:val="both"/>
        <w:outlineLvl w:val="0"/>
        <w:rPr>
          <w:b/>
          <w:sz w:val="26"/>
          <w:szCs w:val="26"/>
        </w:rPr>
      </w:pPr>
      <w:r w:rsidRPr="00892FBF">
        <w:rPr>
          <w:b/>
          <w:bCs/>
          <w:sz w:val="26"/>
          <w:szCs w:val="26"/>
        </w:rPr>
        <w:t xml:space="preserve">Ограничения прав и обременение земельного участка: </w:t>
      </w:r>
      <w:r w:rsidRPr="00892FBF">
        <w:rPr>
          <w:bCs/>
          <w:sz w:val="26"/>
          <w:szCs w:val="26"/>
        </w:rPr>
        <w:t>не зарегистрировано.</w:t>
      </w:r>
    </w:p>
    <w:p w:rsidR="00892FBF" w:rsidRPr="00892FBF" w:rsidRDefault="00892FBF" w:rsidP="00892FBF">
      <w:pPr>
        <w:ind w:firstLine="709"/>
        <w:jc w:val="both"/>
        <w:outlineLvl w:val="0"/>
        <w:rPr>
          <w:sz w:val="26"/>
          <w:szCs w:val="26"/>
        </w:rPr>
      </w:pPr>
      <w:r w:rsidRPr="00892FBF">
        <w:rPr>
          <w:b/>
          <w:sz w:val="26"/>
          <w:szCs w:val="26"/>
        </w:rPr>
        <w:t>Дополнительные сведения о земельном участке:</w:t>
      </w:r>
      <w:r w:rsidRPr="00892FBF">
        <w:rPr>
          <w:sz w:val="26"/>
          <w:szCs w:val="26"/>
        </w:rPr>
        <w:t xml:space="preserve"> </w:t>
      </w:r>
    </w:p>
    <w:p w:rsidR="00892FBF" w:rsidRPr="00892FBF" w:rsidRDefault="00892FBF" w:rsidP="00892FBF">
      <w:pPr>
        <w:ind w:firstLine="709"/>
        <w:jc w:val="both"/>
        <w:outlineLvl w:val="0"/>
      </w:pPr>
      <w:r w:rsidRPr="00892FBF">
        <w:rPr>
          <w:sz w:val="26"/>
          <w:szCs w:val="26"/>
        </w:rPr>
        <w:t xml:space="preserve">Земельный участок расположен в охранной зоне придорожной полосы «Автомобильная дорога общего пользования федерального значения М-52 «Чуйский тракт» от </w:t>
      </w:r>
      <w:proofErr w:type="gramStart"/>
      <w:r w:rsidRPr="00892FBF">
        <w:rPr>
          <w:sz w:val="26"/>
          <w:szCs w:val="26"/>
        </w:rPr>
        <w:t>км</w:t>
      </w:r>
      <w:proofErr w:type="gramEnd"/>
      <w:r w:rsidRPr="00892FBF">
        <w:rPr>
          <w:sz w:val="26"/>
          <w:szCs w:val="26"/>
        </w:rPr>
        <w:t xml:space="preserve"> 28+863 по 135+277», учетный номер</w:t>
      </w:r>
      <w:r w:rsidRPr="00892FBF">
        <w:t xml:space="preserve"> </w:t>
      </w:r>
      <w:r w:rsidRPr="00892FBF">
        <w:rPr>
          <w:sz w:val="26"/>
          <w:szCs w:val="26"/>
        </w:rPr>
        <w:t>54.07.2.43</w:t>
      </w:r>
      <w:r w:rsidRPr="00892FBF">
        <w:rPr>
          <w:color w:val="000000"/>
          <w:sz w:val="26"/>
          <w:szCs w:val="26"/>
        </w:rPr>
        <w:t>.</w:t>
      </w:r>
      <w:r w:rsidRPr="00892FBF">
        <w:t xml:space="preserve"> </w:t>
      </w:r>
      <w:r w:rsidRPr="00892FBF">
        <w:rPr>
          <w:color w:val="000000"/>
          <w:sz w:val="26"/>
          <w:szCs w:val="26"/>
        </w:rPr>
        <w:t xml:space="preserve">Карта </w:t>
      </w:r>
      <w:proofErr w:type="gramStart"/>
      <w:r w:rsidRPr="00892FBF">
        <w:rPr>
          <w:color w:val="000000"/>
          <w:sz w:val="26"/>
          <w:szCs w:val="26"/>
        </w:rPr>
        <w:t>план № б</w:t>
      </w:r>
      <w:proofErr w:type="gramEnd"/>
      <w:r w:rsidRPr="00892FBF">
        <w:rPr>
          <w:color w:val="000000"/>
          <w:sz w:val="26"/>
          <w:szCs w:val="26"/>
        </w:rPr>
        <w:t>/н от 23.05.2013.</w:t>
      </w:r>
      <w:r w:rsidRPr="00892FBF">
        <w:t xml:space="preserve"> </w:t>
      </w:r>
      <w:r w:rsidRPr="00892FBF">
        <w:rPr>
          <w:color w:val="000000"/>
          <w:sz w:val="26"/>
          <w:szCs w:val="26"/>
        </w:rPr>
        <w:t xml:space="preserve">Ограничения использования земель установлены в соответствии с Федеральным законом от 08.11.2007 № 257-ФЗ «Об автомобильных дорогах и о </w:t>
      </w:r>
      <w:r w:rsidRPr="00892FBF">
        <w:rPr>
          <w:color w:val="000000"/>
          <w:sz w:val="26"/>
          <w:szCs w:val="26"/>
        </w:rPr>
        <w:lastRenderedPageBreak/>
        <w:t>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892FBF" w:rsidRPr="00892FBF" w:rsidRDefault="00892FBF" w:rsidP="00892FBF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892FBF">
        <w:rPr>
          <w:color w:val="000000"/>
          <w:sz w:val="26"/>
          <w:szCs w:val="26"/>
        </w:rPr>
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892FBF" w:rsidRPr="00892FBF" w:rsidRDefault="00892FBF" w:rsidP="00892FBF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892FBF">
        <w:rPr>
          <w:color w:val="000000"/>
          <w:sz w:val="26"/>
          <w:szCs w:val="26"/>
        </w:rPr>
        <w:t>В результате обследования земельного участка установлено:</w:t>
      </w:r>
    </w:p>
    <w:p w:rsidR="00892FBF" w:rsidRPr="00892FBF" w:rsidRDefault="00892FBF" w:rsidP="00892FBF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892FBF">
        <w:rPr>
          <w:color w:val="000000"/>
          <w:sz w:val="26"/>
          <w:szCs w:val="26"/>
        </w:rPr>
        <w:t>- территория не огорожена, объектов капитального строительства не обнаружено, возможны подземные коммуникации.</w:t>
      </w:r>
    </w:p>
    <w:p w:rsidR="00892FBF" w:rsidRPr="00892FBF" w:rsidRDefault="00892FBF" w:rsidP="00892FBF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892FBF">
        <w:rPr>
          <w:color w:val="000000"/>
          <w:sz w:val="26"/>
          <w:szCs w:val="26"/>
        </w:rPr>
        <w:t>- по южной границе земельного участка проходит надземная линия электропередач. По западной границе обнаружены выходы (колодцы) подземной коммуникации. На участке обнаружен прицеп фуры, грузовой  автомобиль. В северной части земельный участок пересекает деревянный забор.</w:t>
      </w:r>
    </w:p>
    <w:p w:rsidR="00892FBF" w:rsidRPr="00892FBF" w:rsidRDefault="00892FBF" w:rsidP="00892FB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 xml:space="preserve">Начальная цена предмета аукциона (размер ежегодной арендной платы):   </w:t>
      </w:r>
      <w:r w:rsidRPr="00892FBF">
        <w:rPr>
          <w:bCs/>
          <w:sz w:val="26"/>
          <w:szCs w:val="26"/>
        </w:rPr>
        <w:t>47 960 (сорок семь тысяч девятьсот шестьдесят) рублей 00 копеек</w:t>
      </w:r>
      <w:r w:rsidRPr="00892FBF">
        <w:rPr>
          <w:sz w:val="26"/>
          <w:szCs w:val="26"/>
        </w:rPr>
        <w:t>.</w:t>
      </w:r>
    </w:p>
    <w:p w:rsidR="00892FBF" w:rsidRPr="00892FBF" w:rsidRDefault="00892FBF" w:rsidP="00892FBF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92FBF">
        <w:rPr>
          <w:b/>
          <w:sz w:val="26"/>
          <w:szCs w:val="26"/>
        </w:rPr>
        <w:t xml:space="preserve">Шаг аукциона: </w:t>
      </w:r>
      <w:r w:rsidRPr="00892FBF">
        <w:rPr>
          <w:sz w:val="26"/>
          <w:szCs w:val="26"/>
        </w:rPr>
        <w:t>1 430 (одна тысяч четыреста тридцать) рублей 00 коп.</w:t>
      </w:r>
    </w:p>
    <w:p w:rsidR="00892FBF" w:rsidRPr="00892FBF" w:rsidRDefault="00892FBF" w:rsidP="00892FBF">
      <w:pPr>
        <w:ind w:firstLine="709"/>
        <w:jc w:val="both"/>
        <w:outlineLvl w:val="0"/>
        <w:rPr>
          <w:sz w:val="26"/>
          <w:szCs w:val="26"/>
        </w:rPr>
      </w:pPr>
      <w:r w:rsidRPr="00892FBF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892FBF">
        <w:rPr>
          <w:sz w:val="26"/>
          <w:szCs w:val="26"/>
        </w:rPr>
        <w:t xml:space="preserve"> в соответствии с правил землепользования и застройки </w:t>
      </w:r>
      <w:proofErr w:type="spellStart"/>
      <w:r w:rsidRPr="00892FBF">
        <w:rPr>
          <w:sz w:val="26"/>
          <w:szCs w:val="26"/>
        </w:rPr>
        <w:t>Евсинского</w:t>
      </w:r>
      <w:proofErr w:type="spellEnd"/>
      <w:r w:rsidRPr="00892FBF">
        <w:rPr>
          <w:sz w:val="26"/>
          <w:szCs w:val="26"/>
        </w:rPr>
        <w:t xml:space="preserve"> сельсовета </w:t>
      </w:r>
      <w:proofErr w:type="spellStart"/>
      <w:r w:rsidRPr="00892FBF">
        <w:rPr>
          <w:sz w:val="26"/>
          <w:szCs w:val="26"/>
        </w:rPr>
        <w:t>Искитимского</w:t>
      </w:r>
      <w:proofErr w:type="spellEnd"/>
      <w:r w:rsidRPr="00892FBF">
        <w:rPr>
          <w:sz w:val="26"/>
          <w:szCs w:val="26"/>
        </w:rPr>
        <w:t xml:space="preserve"> района Новосибирской </w:t>
      </w:r>
      <w:proofErr w:type="gramStart"/>
      <w:r w:rsidRPr="00892FBF">
        <w:rPr>
          <w:sz w:val="26"/>
          <w:szCs w:val="26"/>
        </w:rPr>
        <w:t>области, утвержденные приказом министерства строительства Новосибирской области  от 09.08.2019 № 481 земельный участок принадлежит</w:t>
      </w:r>
      <w:proofErr w:type="gramEnd"/>
      <w:r w:rsidRPr="00892FBF">
        <w:rPr>
          <w:sz w:val="26"/>
          <w:szCs w:val="26"/>
        </w:rPr>
        <w:t xml:space="preserve"> к территориальной зоне – зона сельскохозяйственного использования (Си).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870"/>
        <w:gridCol w:w="863"/>
        <w:gridCol w:w="721"/>
        <w:gridCol w:w="1877"/>
        <w:gridCol w:w="580"/>
        <w:gridCol w:w="580"/>
        <w:gridCol w:w="1014"/>
        <w:gridCol w:w="1146"/>
      </w:tblGrid>
      <w:tr w:rsidR="00892FBF" w:rsidRPr="00892FBF" w:rsidTr="00892FBF">
        <w:trPr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№</w:t>
            </w:r>
          </w:p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п.</w:t>
            </w:r>
          </w:p>
        </w:tc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Наименование территориальной зоны (код)</w:t>
            </w:r>
          </w:p>
        </w:tc>
        <w:tc>
          <w:tcPr>
            <w:tcW w:w="33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92FBF" w:rsidRPr="00892FBF" w:rsidTr="00892FBF">
        <w:trPr>
          <w:trHeight w:val="49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S </w:t>
            </w:r>
            <w:proofErr w:type="spellStart"/>
            <w:r w:rsidRPr="00892FBF">
              <w:rPr>
                <w:sz w:val="20"/>
                <w:szCs w:val="20"/>
              </w:rPr>
              <w:t>min</w:t>
            </w:r>
            <w:proofErr w:type="spellEnd"/>
            <w:r w:rsidRPr="00892FBF">
              <w:rPr>
                <w:sz w:val="20"/>
                <w:szCs w:val="20"/>
              </w:rPr>
              <w:t>, (га)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S </w:t>
            </w:r>
            <w:proofErr w:type="spellStart"/>
            <w:r w:rsidRPr="00892FBF">
              <w:rPr>
                <w:sz w:val="20"/>
                <w:szCs w:val="20"/>
              </w:rPr>
              <w:t>max</w:t>
            </w:r>
            <w:proofErr w:type="spellEnd"/>
            <w:r w:rsidRPr="00892FBF">
              <w:rPr>
                <w:sz w:val="20"/>
                <w:szCs w:val="20"/>
              </w:rPr>
              <w:t>, (га)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 xml:space="preserve">Отступ </w:t>
            </w:r>
            <w:proofErr w:type="spellStart"/>
            <w:r w:rsidRPr="00892FBF">
              <w:rPr>
                <w:sz w:val="20"/>
                <w:szCs w:val="20"/>
              </w:rPr>
              <w:t>min</w:t>
            </w:r>
            <w:proofErr w:type="spellEnd"/>
            <w:r w:rsidRPr="00892FBF">
              <w:rPr>
                <w:sz w:val="20"/>
                <w:szCs w:val="20"/>
              </w:rPr>
              <w:t>, (м)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 xml:space="preserve">Этаж </w:t>
            </w:r>
            <w:proofErr w:type="spellStart"/>
            <w:r w:rsidRPr="00892FBF">
              <w:rPr>
                <w:sz w:val="20"/>
                <w:szCs w:val="20"/>
              </w:rPr>
              <w:t>min</w:t>
            </w:r>
            <w:proofErr w:type="spellEnd"/>
            <w:r w:rsidRPr="00892FBF">
              <w:rPr>
                <w:sz w:val="20"/>
                <w:szCs w:val="20"/>
              </w:rPr>
              <w:t>, (ед.)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 xml:space="preserve">Этаж </w:t>
            </w:r>
            <w:proofErr w:type="spellStart"/>
            <w:r w:rsidRPr="00892FBF">
              <w:rPr>
                <w:sz w:val="20"/>
                <w:szCs w:val="20"/>
              </w:rPr>
              <w:t>max</w:t>
            </w:r>
            <w:proofErr w:type="spellEnd"/>
            <w:r w:rsidRPr="00892FBF">
              <w:rPr>
                <w:sz w:val="20"/>
                <w:szCs w:val="20"/>
              </w:rPr>
              <w:t>, (ед.)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 xml:space="preserve">Процент застройки </w:t>
            </w:r>
            <w:proofErr w:type="spellStart"/>
            <w:r w:rsidRPr="00892FBF">
              <w:rPr>
                <w:sz w:val="20"/>
                <w:szCs w:val="20"/>
              </w:rPr>
              <w:t>min</w:t>
            </w:r>
            <w:proofErr w:type="spellEnd"/>
            <w:r w:rsidRPr="00892FBF">
              <w:rPr>
                <w:sz w:val="20"/>
                <w:szCs w:val="20"/>
              </w:rPr>
              <w:t>, (процент)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 xml:space="preserve">Процент застройки </w:t>
            </w:r>
            <w:proofErr w:type="spellStart"/>
            <w:r w:rsidRPr="00892FBF">
              <w:rPr>
                <w:sz w:val="20"/>
                <w:szCs w:val="20"/>
              </w:rPr>
              <w:t>max</w:t>
            </w:r>
            <w:proofErr w:type="spellEnd"/>
            <w:r w:rsidRPr="00892FBF">
              <w:rPr>
                <w:sz w:val="20"/>
                <w:szCs w:val="20"/>
              </w:rPr>
              <w:t>, (процент)</w:t>
            </w:r>
          </w:p>
        </w:tc>
      </w:tr>
      <w:tr w:rsidR="00892FBF" w:rsidRPr="00892FBF" w:rsidTr="00892FBF">
        <w:trPr>
          <w:trHeight w:val="2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</w:p>
        </w:tc>
      </w:tr>
      <w:tr w:rsidR="00892FBF" w:rsidRPr="00892FBF" w:rsidTr="00892FBF">
        <w:trPr>
          <w:trHeight w:val="45"/>
        </w:trPr>
        <w:tc>
          <w:tcPr>
            <w:tcW w:w="19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ind w:left="5"/>
              <w:rPr>
                <w:sz w:val="20"/>
                <w:szCs w:val="20"/>
                <w:lang w:eastAsia="en-US"/>
              </w:rPr>
            </w:pPr>
            <w:r w:rsidRPr="00892FB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808" w:type="pct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Зоны сельскохозяйственного использования</w:t>
            </w:r>
          </w:p>
        </w:tc>
      </w:tr>
      <w:tr w:rsidR="00892FBF" w:rsidRPr="00892FBF" w:rsidTr="00892FBF">
        <w:trPr>
          <w:trHeight w:val="45"/>
        </w:trPr>
        <w:tc>
          <w:tcPr>
            <w:tcW w:w="19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rPr>
                <w:sz w:val="20"/>
                <w:szCs w:val="20"/>
                <w:lang w:eastAsia="en-US"/>
              </w:rPr>
            </w:pPr>
            <w:r w:rsidRPr="00892FBF">
              <w:rPr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both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Зона сельскохозяйственного использования (Си)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0,05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500,0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Не устанавливается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FBF" w:rsidRPr="00892FBF" w:rsidRDefault="00892FBF" w:rsidP="00892FBF">
            <w:pPr>
              <w:jc w:val="center"/>
              <w:rPr>
                <w:sz w:val="20"/>
                <w:szCs w:val="20"/>
              </w:rPr>
            </w:pPr>
            <w:r w:rsidRPr="00892FBF">
              <w:rPr>
                <w:sz w:val="20"/>
                <w:szCs w:val="20"/>
              </w:rPr>
              <w:t>80</w:t>
            </w:r>
          </w:p>
        </w:tc>
      </w:tr>
    </w:tbl>
    <w:p w:rsidR="00892FBF" w:rsidRPr="00892FBF" w:rsidRDefault="00892FBF" w:rsidP="00892FBF">
      <w:pPr>
        <w:ind w:firstLine="709"/>
        <w:jc w:val="both"/>
        <w:outlineLvl w:val="0"/>
        <w:rPr>
          <w:bCs/>
          <w:sz w:val="26"/>
          <w:szCs w:val="26"/>
        </w:rPr>
      </w:pPr>
      <w:r w:rsidRPr="00892FBF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892FBF">
        <w:rPr>
          <w:bCs/>
          <w:sz w:val="26"/>
          <w:szCs w:val="26"/>
        </w:rPr>
        <w:t xml:space="preserve"> 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00"/>
        </w:rPr>
      </w:pPr>
      <w:r w:rsidRPr="00892FBF">
        <w:rPr>
          <w:sz w:val="26"/>
          <w:szCs w:val="26"/>
        </w:rPr>
        <w:t xml:space="preserve">1) Водоснабжение и водоотведение – технические условия подключения объекта к сетям теплоснабжения водоснабжения и водоотведения предоставляются Муниципальное унитарное предприятие </w:t>
      </w:r>
      <w:proofErr w:type="spellStart"/>
      <w:r w:rsidRPr="00892FBF">
        <w:rPr>
          <w:sz w:val="26"/>
          <w:szCs w:val="26"/>
        </w:rPr>
        <w:t>Искитимского</w:t>
      </w:r>
      <w:proofErr w:type="spellEnd"/>
      <w:r w:rsidRPr="00892FBF">
        <w:rPr>
          <w:sz w:val="26"/>
          <w:szCs w:val="26"/>
        </w:rPr>
        <w:t xml:space="preserve"> района «Центральное» адрес: 633220, Россия, Новосибирская область, </w:t>
      </w:r>
      <w:proofErr w:type="spellStart"/>
      <w:r w:rsidRPr="00892FBF">
        <w:rPr>
          <w:sz w:val="26"/>
          <w:szCs w:val="26"/>
        </w:rPr>
        <w:t>Искмтимскии</w:t>
      </w:r>
      <w:proofErr w:type="spellEnd"/>
      <w:r w:rsidRPr="00892FBF">
        <w:rPr>
          <w:sz w:val="26"/>
          <w:szCs w:val="26"/>
        </w:rPr>
        <w:t xml:space="preserve"> район, ст. Евсино, ул. Гагарина, д. 38а. 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По водоснабжению: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Источник водоснабжения - сетевой водопровод холодной воды от ВСН-3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 xml:space="preserve">Гарантированный свободный напор - 1,0 </w:t>
      </w:r>
      <w:proofErr w:type="spellStart"/>
      <w:r w:rsidRPr="00892FBF">
        <w:rPr>
          <w:sz w:val="26"/>
          <w:szCs w:val="26"/>
        </w:rPr>
        <w:t>м</w:t>
      </w:r>
      <w:proofErr w:type="gramStart"/>
      <w:r w:rsidRPr="00892FBF">
        <w:rPr>
          <w:sz w:val="26"/>
          <w:szCs w:val="26"/>
        </w:rPr>
        <w:t>.в</w:t>
      </w:r>
      <w:proofErr w:type="gramEnd"/>
      <w:r w:rsidRPr="00892FBF">
        <w:rPr>
          <w:sz w:val="26"/>
          <w:szCs w:val="26"/>
        </w:rPr>
        <w:t>од.ст</w:t>
      </w:r>
      <w:proofErr w:type="spellEnd"/>
      <w:r w:rsidRPr="00892FBF">
        <w:rPr>
          <w:sz w:val="26"/>
          <w:szCs w:val="26"/>
        </w:rPr>
        <w:t>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Нагрузка на сети водоснабжения - информация отсутствует.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Разработать и согласовать с МУП ИР «Центральное» проектную документацию на данный участок водопроводной сети.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 xml:space="preserve">Подключение объекта к централизованной системе водоснабжения предусмотреть от водопроводных сетей МУП ИР «Центральное» в точке №1. В существующем </w:t>
      </w:r>
      <w:r w:rsidRPr="00892FBF">
        <w:rPr>
          <w:sz w:val="26"/>
          <w:szCs w:val="26"/>
        </w:rPr>
        <w:lastRenderedPageBreak/>
        <w:t>(проектируемом) водопроводном колодце предусмотреть установку запорной арматуры на проектируемом водопроводе.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Принципиальную схему водопроводного колодца и тип запорной арматуры согласовать с МУП ИР «Центральное» при разработке проектной документации.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Диаметр проектируемого водопровода определить проектом.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По водоотведению: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Нагрузка на сети водоотведения - информация отсутствует.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Подключение объекта к централизованной системе водоотведения предусмотреть к канализационным сетям МУП ИР «Центральное» в существующем канализационном колодце К-1 либо колодце К-2.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На проектируемой сети предусмотреть колодец для отбора проб стоков.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Сбрасываемые в систему водоотведения сточные воды должны соответствовать нормативам, установленным Постановлением мэрии г. Новосибирска от 13.12.2010 № 5714.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Геодезическую отметку лотков в месте (местах) подключения (технологического присоединения) уточнить до начала производства работ.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Сброс ливневых и дренажных вод в водоотводящую сеть запрещается.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Срок действия предварительных условий подключения 3 года со дня выдачи.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По истечении этого срока параметры выданных условий подключения могут быть изменены.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Теплоснабжение – технические условия подключения объекта к сетям теплоснабжения не могут быть выданы, вследствие отсутствия существующих централизованных сетей.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92FBF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892FBF">
        <w:rPr>
          <w:bCs/>
          <w:sz w:val="26"/>
          <w:szCs w:val="26"/>
        </w:rPr>
        <w:t>Черепановские</w:t>
      </w:r>
      <w:proofErr w:type="spellEnd"/>
      <w:r w:rsidRPr="00892FBF">
        <w:rPr>
          <w:bCs/>
          <w:sz w:val="26"/>
          <w:szCs w:val="26"/>
        </w:rPr>
        <w:t xml:space="preserve"> электрические сети» (далее – АО «РЭС»), адрес: 633521, г. Черепаново, ул. </w:t>
      </w:r>
      <w:proofErr w:type="spellStart"/>
      <w:r w:rsidRPr="00892FBF">
        <w:rPr>
          <w:bCs/>
          <w:sz w:val="26"/>
          <w:szCs w:val="26"/>
        </w:rPr>
        <w:t>К.Маркса</w:t>
      </w:r>
      <w:proofErr w:type="spellEnd"/>
      <w:r w:rsidRPr="00892FBF">
        <w:rPr>
          <w:bCs/>
          <w:sz w:val="26"/>
          <w:szCs w:val="26"/>
        </w:rPr>
        <w:t>, д. 1а.</w:t>
      </w:r>
      <w:proofErr w:type="gramEnd"/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2) Газоснабжение – технические условия подключения объекта к сети газоснабжения предоставляет ООО «Газпром газораспределение Томск» филиал в Новосибирской области.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Максимальный расход газа: 5,0 м3/час.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Срок действия информации о технических условиях: срок ограничивается периодом, при котором произойдет уменьшение свободной мощности в сети газораспределения (вследствие подключения новых потребителей) выше максимального расхода газа.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 xml:space="preserve">Информация о плате за подключение капитального строительства к сетям газораспределения: плата за подключение определяется исходя из технических параметров объекта капитального строительства в соответствии с приказом Департамента по тарифам Новосибирской области от 11.12.2019 №589-Г,  официально опубликованным на </w:t>
      </w:r>
      <w:proofErr w:type="gramStart"/>
      <w:r w:rsidRPr="00892FBF">
        <w:rPr>
          <w:bCs/>
          <w:sz w:val="26"/>
          <w:szCs w:val="26"/>
        </w:rPr>
        <w:t>интернет-портале</w:t>
      </w:r>
      <w:proofErr w:type="gramEnd"/>
      <w:r w:rsidRPr="00892FBF">
        <w:rPr>
          <w:bCs/>
          <w:sz w:val="26"/>
          <w:szCs w:val="26"/>
        </w:rPr>
        <w:t xml:space="preserve"> правовой информации Новосибирской области http://www.nsopravo.ru.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Порядок обращения правообладателя земельного участка за получением технических условий и заключением договора о подключении установлен «Правилами подключения (технологического присоединения) объектов капитального строительства к сетям газораспределения», утвержденными Постановлением Правительства Российской Федерации от 30.12.2013 № 1314.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lastRenderedPageBreak/>
        <w:t>Подключение объекта, планируемого для размещения на вышеуказанном земельном участке, возможно к следующим объектам: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892FBF">
        <w:rPr>
          <w:bCs/>
          <w:sz w:val="26"/>
          <w:szCs w:val="26"/>
        </w:rPr>
        <w:t xml:space="preserve">- «Газопровод низкого давления для газоснабжения жилых домов от ШРП-1, ШРП-8 и ШРП-9 по улицам Кирова, Сенная, Северная, Школьная, Майская, Вокзальная, Барнаульская, Гагарина, Совхозная, Ленина, Октябрьская, Ворошилова, Трактовая, Рабочая, ст. Евсино, </w:t>
      </w:r>
      <w:proofErr w:type="spellStart"/>
      <w:r w:rsidRPr="00892FBF">
        <w:rPr>
          <w:bCs/>
          <w:sz w:val="26"/>
          <w:szCs w:val="26"/>
        </w:rPr>
        <w:t>Искитимского</w:t>
      </w:r>
      <w:proofErr w:type="spellEnd"/>
      <w:r w:rsidRPr="00892FBF">
        <w:rPr>
          <w:bCs/>
          <w:sz w:val="26"/>
          <w:szCs w:val="26"/>
        </w:rPr>
        <w:t xml:space="preserve"> района Новосибирской области», находящемуся на удалении от земельного участка (наименьшее расстояние) примерно 21 м;</w:t>
      </w:r>
      <w:proofErr w:type="gramEnd"/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 xml:space="preserve">- «Газопровод высокого давления от ШРП-8 до ШРП-9 ст. Евсино </w:t>
      </w:r>
      <w:proofErr w:type="spellStart"/>
      <w:r w:rsidRPr="00892FBF">
        <w:rPr>
          <w:bCs/>
          <w:sz w:val="26"/>
          <w:szCs w:val="26"/>
        </w:rPr>
        <w:t>Искитимского</w:t>
      </w:r>
      <w:proofErr w:type="spellEnd"/>
      <w:r w:rsidRPr="00892FBF">
        <w:rPr>
          <w:bCs/>
          <w:sz w:val="26"/>
          <w:szCs w:val="26"/>
        </w:rPr>
        <w:t xml:space="preserve"> района Новосибирской области», находящемуся на удалении от земельного участка (наименьшее расстояние) примерно 473 м.</w:t>
      </w:r>
    </w:p>
    <w:p w:rsidR="00892FBF" w:rsidRPr="00892FBF" w:rsidRDefault="00892FBF" w:rsidP="00892FBF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</w:rPr>
      </w:pPr>
      <w:r w:rsidRPr="00892FBF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892FBF">
        <w:rPr>
          <w:bCs/>
          <w:sz w:val="26"/>
          <w:szCs w:val="26"/>
        </w:rPr>
        <w:t xml:space="preserve"> 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proofErr w:type="gramStart"/>
      <w:r w:rsidRPr="00892FBF">
        <w:rPr>
          <w:bCs/>
          <w:sz w:val="26"/>
          <w:szCs w:val="26"/>
        </w:rPr>
        <w:t>Заявки принимаются с 15 июня 2020 года по 13 июля 2020 года ежедневно (за исключением выходных дней) с 10-00 до 12-00, с 14-00 до 16-00 (13 июля 2020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</w:t>
      </w:r>
      <w:proofErr w:type="gramEnd"/>
      <w:r w:rsidRPr="00892FBF">
        <w:rPr>
          <w:bCs/>
          <w:sz w:val="26"/>
          <w:szCs w:val="26"/>
        </w:rPr>
        <w:t xml:space="preserve"> земельных аукционов ГКУ Новосибирской области «Фонд имущества Новосибирской области» Погодаев Владимир Валерьевич, тел. 8(383) 266-02-73.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Заявитель может отозвать заявку не позднее 13 июля 2020 года до 12-00 по местному времени, уведомив об этом в письменно форме организатора аукциона.</w:t>
      </w:r>
    </w:p>
    <w:p w:rsidR="00892FBF" w:rsidRPr="00892FBF" w:rsidRDefault="00892FBF" w:rsidP="00892FBF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892FBF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892FBF" w:rsidRPr="00892FBF" w:rsidRDefault="00892FBF" w:rsidP="00892FBF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 xml:space="preserve">заявка </w:t>
      </w:r>
      <w:proofErr w:type="gramStart"/>
      <w:r w:rsidRPr="00892FBF">
        <w:rPr>
          <w:bCs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892FBF">
        <w:rPr>
          <w:bCs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92FBF" w:rsidRPr="00892FBF" w:rsidRDefault="00892FBF" w:rsidP="00892FBF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892FBF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892FBF" w:rsidRPr="00892FBF" w:rsidRDefault="00892FBF" w:rsidP="00892FBF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</w:pPr>
      <w:r w:rsidRPr="00892FBF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892FBF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92FBF">
        <w:rPr>
          <w:sz w:val="26"/>
          <w:szCs w:val="26"/>
        </w:rPr>
        <w:t>, если заявителем является иностранное юридическое лицо;</w:t>
      </w:r>
    </w:p>
    <w:p w:rsidR="00892FBF" w:rsidRPr="00892FBF" w:rsidRDefault="00892FBF" w:rsidP="00892FBF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</w:rPr>
      </w:pPr>
      <w:r w:rsidRPr="00892FBF">
        <w:rPr>
          <w:bCs/>
          <w:sz w:val="26"/>
          <w:szCs w:val="26"/>
        </w:rPr>
        <w:t>документы, подтверждающие внесение задатка.</w:t>
      </w:r>
    </w:p>
    <w:p w:rsidR="00892FBF" w:rsidRPr="00892FBF" w:rsidRDefault="00892FBF" w:rsidP="00892FBF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92FBF" w:rsidRPr="00892FBF" w:rsidRDefault="00892FBF" w:rsidP="00892FBF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892FBF">
        <w:rPr>
          <w:b/>
          <w:bCs/>
          <w:sz w:val="26"/>
          <w:szCs w:val="26"/>
        </w:rPr>
        <w:t xml:space="preserve">Размер задатка: </w:t>
      </w:r>
      <w:r w:rsidRPr="00892FBF">
        <w:rPr>
          <w:bCs/>
          <w:sz w:val="26"/>
          <w:szCs w:val="26"/>
        </w:rPr>
        <w:t>10 000 (десять тысяч) рублей 00 коп.</w:t>
      </w:r>
    </w:p>
    <w:p w:rsidR="00892FBF" w:rsidRPr="00892FBF" w:rsidRDefault="00892FBF" w:rsidP="00892FBF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892FBF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892FBF" w:rsidRPr="00892FBF" w:rsidRDefault="00892FBF" w:rsidP="00892FBF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Задаток</w:t>
      </w:r>
      <w:r w:rsidRPr="00892FBF">
        <w:rPr>
          <w:b/>
          <w:bCs/>
          <w:sz w:val="26"/>
          <w:szCs w:val="26"/>
        </w:rPr>
        <w:t xml:space="preserve"> </w:t>
      </w:r>
      <w:r w:rsidRPr="00892FBF">
        <w:rPr>
          <w:bCs/>
          <w:sz w:val="26"/>
          <w:szCs w:val="26"/>
        </w:rPr>
        <w:t xml:space="preserve">вносится на расчетный счет организатора аукциона. 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892FBF">
        <w:rPr>
          <w:bCs/>
          <w:sz w:val="26"/>
          <w:szCs w:val="26"/>
        </w:rPr>
        <w:t>р</w:t>
      </w:r>
      <w:proofErr w:type="gramEnd"/>
      <w:r w:rsidRPr="00892FBF">
        <w:rPr>
          <w:bCs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892FBF">
        <w:rPr>
          <w:color w:val="000000"/>
          <w:spacing w:val="2"/>
          <w:sz w:val="26"/>
          <w:szCs w:val="26"/>
        </w:rPr>
        <w:t xml:space="preserve">земельный участок </w:t>
      </w:r>
      <w:r w:rsidRPr="00892FBF">
        <w:rPr>
          <w:color w:val="000000"/>
          <w:sz w:val="26"/>
          <w:szCs w:val="26"/>
        </w:rPr>
        <w:t xml:space="preserve">с кадастровым номером </w:t>
      </w:r>
      <w:r w:rsidRPr="00892FBF">
        <w:rPr>
          <w:rFonts w:eastAsia="Calibri"/>
          <w:sz w:val="26"/>
          <w:szCs w:val="26"/>
        </w:rPr>
        <w:t>54:07:047412:1469</w:t>
      </w:r>
      <w:r w:rsidRPr="00892FBF">
        <w:rPr>
          <w:bCs/>
          <w:sz w:val="26"/>
          <w:szCs w:val="26"/>
        </w:rPr>
        <w:t>.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92FBF" w:rsidRPr="00892FBF" w:rsidRDefault="00892FBF" w:rsidP="00892FBF">
      <w:pPr>
        <w:ind w:firstLine="709"/>
        <w:jc w:val="both"/>
      </w:pPr>
      <w:r w:rsidRPr="00892FBF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892FBF" w:rsidRPr="00892FBF" w:rsidRDefault="00892FBF" w:rsidP="00892FB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2FBF">
        <w:rPr>
          <w:bCs/>
          <w:sz w:val="26"/>
          <w:szCs w:val="26"/>
        </w:rPr>
        <w:t>в случае если заявитель отозвал</w:t>
      </w:r>
      <w:r w:rsidRPr="00892FBF">
        <w:rPr>
          <w:bCs/>
          <w:color w:val="FF0000"/>
          <w:sz w:val="26"/>
          <w:szCs w:val="26"/>
        </w:rPr>
        <w:t xml:space="preserve"> </w:t>
      </w:r>
      <w:r w:rsidRPr="00892FBF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92FBF" w:rsidRPr="00892FBF" w:rsidRDefault="00892FBF" w:rsidP="00892FB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92FBF" w:rsidRPr="00892FBF" w:rsidRDefault="00892FBF" w:rsidP="00892FB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92FBF" w:rsidRPr="00892FBF" w:rsidRDefault="00892FBF" w:rsidP="00892FB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 xml:space="preserve">в случае если </w:t>
      </w:r>
      <w:r w:rsidRPr="00892FBF">
        <w:rPr>
          <w:bCs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892FBF">
        <w:rPr>
          <w:bCs/>
          <w:sz w:val="26"/>
          <w:szCs w:val="26"/>
        </w:rPr>
        <w:t>ии ау</w:t>
      </w:r>
      <w:proofErr w:type="gramEnd"/>
      <w:r w:rsidRPr="00892FBF">
        <w:rPr>
          <w:bCs/>
          <w:sz w:val="26"/>
          <w:szCs w:val="26"/>
        </w:rPr>
        <w:t>кциона</w:t>
      </w:r>
      <w:r w:rsidRPr="00892FBF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92FBF" w:rsidRPr="00892FBF" w:rsidRDefault="00892FBF" w:rsidP="00892FBF">
      <w:pPr>
        <w:ind w:firstLine="709"/>
        <w:jc w:val="both"/>
        <w:rPr>
          <w:bCs/>
        </w:rPr>
      </w:pPr>
      <w:r w:rsidRPr="00892FBF">
        <w:rPr>
          <w:bCs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892FBF" w:rsidRPr="00892FBF" w:rsidRDefault="00892FBF" w:rsidP="00892FB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92FBF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92FBF" w:rsidRPr="00892FBF" w:rsidRDefault="00892FBF" w:rsidP="00892FB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92FBF" w:rsidRPr="00892FBF" w:rsidRDefault="00892FBF" w:rsidP="00892FBF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892FBF">
        <w:rPr>
          <w:bCs/>
          <w:sz w:val="26"/>
          <w:szCs w:val="26"/>
        </w:rPr>
        <w:t>участнику, признанному победителем аукциона.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892FBF" w:rsidRPr="00892FBF" w:rsidRDefault="00892FBF" w:rsidP="00892FBF">
      <w:pPr>
        <w:ind w:firstLine="709"/>
        <w:jc w:val="both"/>
        <w:rPr>
          <w:bCs/>
        </w:rPr>
      </w:pPr>
      <w:r w:rsidRPr="00892FBF">
        <w:rPr>
          <w:b/>
          <w:bCs/>
          <w:sz w:val="26"/>
          <w:szCs w:val="26"/>
        </w:rPr>
        <w:t>Дата, время и место определения участников аукциона:</w:t>
      </w:r>
      <w:r w:rsidRPr="00892FBF">
        <w:rPr>
          <w:bCs/>
          <w:sz w:val="26"/>
          <w:szCs w:val="26"/>
        </w:rPr>
        <w:t xml:space="preserve"> </w:t>
      </w:r>
      <w:r w:rsidRPr="00892FBF">
        <w:rPr>
          <w:sz w:val="26"/>
          <w:szCs w:val="26"/>
        </w:rPr>
        <w:t>15 июля 2020 года в 14:05 по адресу: город Новосибирск, Красный проспект, дом 18, этаж 1, кабинет № 105.</w:t>
      </w:r>
    </w:p>
    <w:p w:rsidR="00892FBF" w:rsidRPr="00892FBF" w:rsidRDefault="00892FBF" w:rsidP="00892FBF">
      <w:pPr>
        <w:autoSpaceDE w:val="0"/>
        <w:autoSpaceDN w:val="0"/>
        <w:adjustRightInd w:val="0"/>
        <w:ind w:firstLine="709"/>
        <w:jc w:val="both"/>
      </w:pPr>
      <w:r w:rsidRPr="00892FBF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892FBF">
        <w:rPr>
          <w:sz w:val="26"/>
          <w:szCs w:val="26"/>
        </w:rPr>
        <w:t>с даты подписания</w:t>
      </w:r>
      <w:proofErr w:type="gramEnd"/>
      <w:r w:rsidRPr="00892FBF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892FBF" w:rsidRPr="00892FBF" w:rsidRDefault="00892FBF" w:rsidP="00892FBF">
      <w:pPr>
        <w:keepNext/>
        <w:autoSpaceDE w:val="0"/>
        <w:autoSpaceDN w:val="0"/>
        <w:adjustRightInd w:val="0"/>
        <w:ind w:firstLine="709"/>
        <w:jc w:val="both"/>
        <w:rPr>
          <w:bCs/>
        </w:rPr>
      </w:pPr>
      <w:r w:rsidRPr="00892FBF">
        <w:rPr>
          <w:b/>
          <w:sz w:val="26"/>
          <w:szCs w:val="26"/>
        </w:rPr>
        <w:t xml:space="preserve">Дата, время и место проведения аукциона: </w:t>
      </w:r>
      <w:r w:rsidRPr="00892FBF">
        <w:rPr>
          <w:bCs/>
          <w:sz w:val="26"/>
          <w:szCs w:val="26"/>
        </w:rPr>
        <w:t xml:space="preserve">17 июля 2020 года в 12:00 по адресу: город Новосибирск, </w:t>
      </w:r>
      <w:r w:rsidRPr="00892FBF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892FBF">
        <w:rPr>
          <w:bCs/>
          <w:sz w:val="26"/>
          <w:szCs w:val="26"/>
        </w:rPr>
        <w:t>.</w:t>
      </w:r>
    </w:p>
    <w:p w:rsidR="00892FBF" w:rsidRPr="00892FBF" w:rsidRDefault="00892FBF" w:rsidP="00892FBF">
      <w:pPr>
        <w:ind w:firstLine="709"/>
        <w:jc w:val="both"/>
        <w:rPr>
          <w:bCs/>
          <w:sz w:val="26"/>
          <w:szCs w:val="26"/>
        </w:rPr>
      </w:pPr>
      <w:r w:rsidRPr="00892FBF">
        <w:rPr>
          <w:b/>
          <w:sz w:val="26"/>
          <w:szCs w:val="26"/>
        </w:rPr>
        <w:t>Дата и место подведения итогов аукциона</w:t>
      </w:r>
      <w:r w:rsidRPr="00892FBF">
        <w:rPr>
          <w:sz w:val="26"/>
          <w:szCs w:val="26"/>
        </w:rPr>
        <w:t>: 17 июля 2020</w:t>
      </w:r>
      <w:r w:rsidRPr="00892FBF">
        <w:rPr>
          <w:bCs/>
          <w:sz w:val="26"/>
          <w:szCs w:val="26"/>
        </w:rPr>
        <w:t xml:space="preserve"> года по адресу: город Новосибирск, </w:t>
      </w:r>
      <w:r w:rsidRPr="00892FBF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892FBF">
        <w:rPr>
          <w:bCs/>
          <w:sz w:val="26"/>
          <w:szCs w:val="26"/>
        </w:rPr>
        <w:t>.</w:t>
      </w:r>
    </w:p>
    <w:p w:rsidR="00892FBF" w:rsidRPr="00892FBF" w:rsidRDefault="00892FBF" w:rsidP="00892FBF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892FBF">
        <w:rPr>
          <w:b/>
          <w:bCs/>
          <w:sz w:val="26"/>
          <w:szCs w:val="26"/>
        </w:rPr>
        <w:t>Сведения</w:t>
      </w:r>
      <w:r w:rsidRPr="00892FBF">
        <w:rPr>
          <w:sz w:val="26"/>
          <w:szCs w:val="26"/>
        </w:rPr>
        <w:t xml:space="preserve"> </w:t>
      </w:r>
      <w:r w:rsidRPr="00892FBF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892FBF" w:rsidRPr="00892FBF" w:rsidRDefault="00892FBF" w:rsidP="00892FBF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892FBF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892FBF">
        <w:rPr>
          <w:sz w:val="26"/>
          <w:szCs w:val="26"/>
        </w:rPr>
        <w:t>устанавливается по итогам аукциона;</w:t>
      </w:r>
    </w:p>
    <w:p w:rsidR="00892FBF" w:rsidRPr="00892FBF" w:rsidRDefault="00892FBF" w:rsidP="00892FBF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892FBF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892FBF">
        <w:rPr>
          <w:b/>
          <w:i/>
          <w:sz w:val="26"/>
          <w:szCs w:val="26"/>
        </w:rPr>
        <w:t xml:space="preserve">4 года 6 месяцев </w:t>
      </w:r>
      <w:proofErr w:type="gramStart"/>
      <w:r w:rsidRPr="00892FBF">
        <w:rPr>
          <w:sz w:val="26"/>
          <w:szCs w:val="26"/>
        </w:rPr>
        <w:t>с даты</w:t>
      </w:r>
      <w:r w:rsidRPr="00892FBF">
        <w:rPr>
          <w:bCs/>
          <w:sz w:val="26"/>
          <w:szCs w:val="26"/>
        </w:rPr>
        <w:t xml:space="preserve"> заключения</w:t>
      </w:r>
      <w:proofErr w:type="gramEnd"/>
      <w:r w:rsidRPr="00892FBF">
        <w:rPr>
          <w:bCs/>
          <w:sz w:val="26"/>
          <w:szCs w:val="26"/>
        </w:rPr>
        <w:t xml:space="preserve"> договора аренды земельного участка;</w:t>
      </w:r>
    </w:p>
    <w:p w:rsidR="00892FBF" w:rsidRPr="00892FBF" w:rsidRDefault="00892FBF" w:rsidP="00892FBF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bCs/>
        </w:rPr>
      </w:pPr>
      <w:r w:rsidRPr="00892FBF">
        <w:rPr>
          <w:bCs/>
          <w:sz w:val="26"/>
          <w:szCs w:val="26"/>
        </w:rPr>
        <w:lastRenderedPageBreak/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892FBF">
        <w:rPr>
          <w:bCs/>
          <w:sz w:val="26"/>
          <w:szCs w:val="26"/>
        </w:rPr>
        <w:t>расчетным</w:t>
      </w:r>
      <w:proofErr w:type="gramEnd"/>
      <w:r w:rsidRPr="00892FBF">
        <w:rPr>
          <w:bCs/>
          <w:sz w:val="26"/>
          <w:szCs w:val="26"/>
        </w:rPr>
        <w:t>.</w:t>
      </w:r>
    </w:p>
    <w:p w:rsidR="00892FBF" w:rsidRPr="00892FBF" w:rsidRDefault="00892FBF" w:rsidP="00892FBF">
      <w:pPr>
        <w:shd w:val="clear" w:color="auto" w:fill="FFFFFF"/>
        <w:tabs>
          <w:tab w:val="left" w:pos="993"/>
        </w:tabs>
        <w:ind w:right="-23" w:firstLine="709"/>
        <w:jc w:val="both"/>
        <w:rPr>
          <w:b/>
        </w:rPr>
      </w:pPr>
      <w:r w:rsidRPr="00892FBF">
        <w:rPr>
          <w:b/>
          <w:sz w:val="26"/>
          <w:szCs w:val="26"/>
        </w:rPr>
        <w:t>Порядок заключения договора аренды земельного участка:</w:t>
      </w:r>
    </w:p>
    <w:p w:rsidR="00892FBF" w:rsidRPr="00892FBF" w:rsidRDefault="00892FBF" w:rsidP="00892FBF">
      <w:pPr>
        <w:ind w:firstLine="709"/>
        <w:jc w:val="both"/>
        <w:rPr>
          <w:b/>
          <w:bCs/>
        </w:rPr>
      </w:pPr>
      <w:r w:rsidRPr="00892FBF">
        <w:rPr>
          <w:bCs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892FBF">
        <w:rPr>
          <w:bCs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892FBF">
        <w:rPr>
          <w:bCs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892FBF">
        <w:rPr>
          <w:bCs/>
          <w:sz w:val="26"/>
          <w:szCs w:val="26"/>
        </w:rPr>
        <w:t>ранее</w:t>
      </w:r>
      <w:proofErr w:type="gramEnd"/>
      <w:r w:rsidRPr="00892FBF">
        <w:rPr>
          <w:bCs/>
          <w:sz w:val="26"/>
          <w:szCs w:val="26"/>
        </w:rPr>
        <w:t xml:space="preserve"> чем через десять дней со дня размещения информации </w:t>
      </w:r>
      <w:r w:rsidRPr="00892FBF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892FBF">
          <w:rPr>
            <w:color w:val="0000FF"/>
            <w:sz w:val="26"/>
            <w:szCs w:val="26"/>
            <w:u w:val="single"/>
            <w:lang w:val="en-US"/>
          </w:rPr>
          <w:t>www</w:t>
        </w:r>
        <w:r w:rsidRPr="00892FB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892FBF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892FB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892FBF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892FB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892FBF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892FBF">
        <w:rPr>
          <w:bCs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892FBF">
        <w:rPr>
          <w:bCs/>
          <w:sz w:val="26"/>
          <w:szCs w:val="26"/>
        </w:rPr>
        <w:t>,</w:t>
      </w:r>
      <w:proofErr w:type="gramEnd"/>
      <w:r w:rsidRPr="00892FBF">
        <w:rPr>
          <w:bCs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92FBF" w:rsidRPr="00892FBF" w:rsidRDefault="00892FBF" w:rsidP="00892FBF">
      <w:pPr>
        <w:shd w:val="clear" w:color="auto" w:fill="FFFFFF"/>
        <w:ind w:right="-22" w:firstLine="709"/>
        <w:jc w:val="both"/>
        <w:outlineLvl w:val="0"/>
        <w:rPr>
          <w:bCs/>
          <w:sz w:val="26"/>
          <w:szCs w:val="26"/>
        </w:rPr>
      </w:pPr>
      <w:proofErr w:type="gramStart"/>
      <w:r w:rsidRPr="00892FBF">
        <w:rPr>
          <w:bCs/>
          <w:sz w:val="26"/>
          <w:szCs w:val="26"/>
        </w:rPr>
        <w:t>Со всеми подробными материалами, в том числе: с техническими условиями</w:t>
      </w:r>
      <w:r w:rsidRPr="00892FBF">
        <w:rPr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892FBF">
        <w:rPr>
          <w:bCs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экономист отдела подготовки</w:t>
      </w:r>
      <w:proofErr w:type="gramEnd"/>
      <w:r w:rsidRPr="00892FBF">
        <w:rPr>
          <w:bCs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Погодаев Владимир Валерьевич, тел. 8(383) 266-02-73.</w:t>
      </w:r>
    </w:p>
    <w:p w:rsidR="00892FBF" w:rsidRPr="00892FBF" w:rsidRDefault="00892FBF" w:rsidP="00892FBF">
      <w:pPr>
        <w:shd w:val="clear" w:color="auto" w:fill="FFFFFF"/>
        <w:ind w:right="-22" w:firstLine="709"/>
        <w:jc w:val="both"/>
        <w:outlineLvl w:val="0"/>
        <w:rPr>
          <w:bCs/>
          <w:sz w:val="26"/>
          <w:szCs w:val="26"/>
        </w:rPr>
      </w:pPr>
      <w:r w:rsidRPr="00892FBF">
        <w:rPr>
          <w:sz w:val="26"/>
          <w:szCs w:val="26"/>
        </w:rPr>
        <w:t xml:space="preserve">Осмотр земельного участка </w:t>
      </w:r>
      <w:r w:rsidRPr="00892FBF">
        <w:rPr>
          <w:bCs/>
          <w:sz w:val="26"/>
          <w:szCs w:val="26"/>
        </w:rPr>
        <w:t>заявителями осуществляется самостоятельно.</w:t>
      </w:r>
    </w:p>
    <w:p w:rsidR="00892FBF" w:rsidRPr="00892FBF" w:rsidRDefault="00892FBF" w:rsidP="00892FBF">
      <w:pPr>
        <w:ind w:firstLine="709"/>
        <w:jc w:val="both"/>
      </w:pPr>
      <w:r w:rsidRPr="00892FBF">
        <w:rPr>
          <w:bCs/>
          <w:sz w:val="26"/>
          <w:szCs w:val="26"/>
        </w:rPr>
        <w:t>Информация об аукционе размещается в газете «</w:t>
      </w:r>
      <w:proofErr w:type="spellStart"/>
      <w:r w:rsidRPr="00892FBF">
        <w:rPr>
          <w:bCs/>
          <w:sz w:val="26"/>
          <w:szCs w:val="26"/>
        </w:rPr>
        <w:t>Искитимская</w:t>
      </w:r>
      <w:proofErr w:type="spellEnd"/>
      <w:r w:rsidRPr="00892FBF">
        <w:rPr>
          <w:bCs/>
          <w:sz w:val="26"/>
          <w:szCs w:val="26"/>
        </w:rPr>
        <w:t xml:space="preserve"> газета», </w:t>
      </w:r>
      <w:r w:rsidRPr="00892FBF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892FBF">
          <w:rPr>
            <w:color w:val="0000FF"/>
            <w:sz w:val="26"/>
            <w:szCs w:val="26"/>
            <w:u w:val="single"/>
            <w:lang w:val="en-US"/>
          </w:rPr>
          <w:t>www</w:t>
        </w:r>
        <w:r w:rsidRPr="00892FBF">
          <w:rPr>
            <w:color w:val="0000FF"/>
            <w:sz w:val="26"/>
            <w:szCs w:val="26"/>
            <w:u w:val="single"/>
          </w:rPr>
          <w:t>.</w:t>
        </w:r>
        <w:r w:rsidRPr="00892FBF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892FBF">
          <w:rPr>
            <w:color w:val="0000FF"/>
            <w:sz w:val="26"/>
            <w:szCs w:val="26"/>
            <w:u w:val="single"/>
          </w:rPr>
          <w:t>.</w:t>
        </w:r>
        <w:r w:rsidRPr="00892FBF">
          <w:rPr>
            <w:color w:val="0000FF"/>
            <w:sz w:val="26"/>
            <w:szCs w:val="26"/>
            <w:u w:val="single"/>
            <w:lang w:val="en-US"/>
          </w:rPr>
          <w:t>gov</w:t>
        </w:r>
        <w:r w:rsidRPr="00892FBF">
          <w:rPr>
            <w:color w:val="0000FF"/>
            <w:sz w:val="26"/>
            <w:szCs w:val="26"/>
            <w:u w:val="single"/>
          </w:rPr>
          <w:t>.</w:t>
        </w:r>
        <w:r w:rsidRPr="00892FBF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892FBF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92FBF" w:rsidRPr="00892FBF" w:rsidRDefault="00892FBF" w:rsidP="00892FBF">
      <w:pPr>
        <w:ind w:firstLine="709"/>
        <w:jc w:val="both"/>
        <w:rPr>
          <w:sz w:val="26"/>
          <w:szCs w:val="26"/>
        </w:rPr>
      </w:pPr>
      <w:r w:rsidRPr="00892FBF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892FBF">
        <w:rPr>
          <w:sz w:val="26"/>
          <w:szCs w:val="26"/>
        </w:rPr>
        <w:t>департамент имущества и земельных отношений Новосибирской области</w:t>
      </w:r>
      <w:r w:rsidRPr="00892FBF">
        <w:rPr>
          <w:bCs/>
          <w:sz w:val="26"/>
          <w:szCs w:val="26"/>
        </w:rPr>
        <w:t xml:space="preserve"> принимает решение об отказе в проведен</w:t>
      </w:r>
      <w:proofErr w:type="gramStart"/>
      <w:r w:rsidRPr="00892FBF">
        <w:rPr>
          <w:bCs/>
          <w:sz w:val="26"/>
          <w:szCs w:val="26"/>
        </w:rPr>
        <w:t>ии ау</w:t>
      </w:r>
      <w:proofErr w:type="gramEnd"/>
      <w:r w:rsidRPr="00892FBF">
        <w:rPr>
          <w:bCs/>
          <w:sz w:val="26"/>
          <w:szCs w:val="26"/>
        </w:rPr>
        <w:t>кциона.</w:t>
      </w:r>
      <w:r w:rsidRPr="00892FBF">
        <w:rPr>
          <w:sz w:val="26"/>
          <w:szCs w:val="26"/>
        </w:rPr>
        <w:t xml:space="preserve"> Извещение об отказе в проведен</w:t>
      </w:r>
      <w:proofErr w:type="gramStart"/>
      <w:r w:rsidRPr="00892FBF">
        <w:rPr>
          <w:sz w:val="26"/>
          <w:szCs w:val="26"/>
        </w:rPr>
        <w:t>ии ау</w:t>
      </w:r>
      <w:proofErr w:type="gramEnd"/>
      <w:r w:rsidRPr="00892FBF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892FBF">
          <w:rPr>
            <w:color w:val="0000FF"/>
            <w:sz w:val="26"/>
            <w:szCs w:val="26"/>
            <w:u w:val="single"/>
            <w:lang w:val="en-US"/>
          </w:rPr>
          <w:t>www</w:t>
        </w:r>
        <w:r w:rsidRPr="00892FB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892FBF">
          <w:rPr>
            <w:color w:val="0000FF"/>
            <w:sz w:val="26"/>
            <w:szCs w:val="26"/>
            <w:u w:val="single"/>
            <w:lang w:val="en-US"/>
          </w:rPr>
          <w:t>torgi</w:t>
        </w:r>
        <w:proofErr w:type="spellEnd"/>
        <w:r w:rsidRPr="00892FB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892FBF">
          <w:rPr>
            <w:color w:val="0000FF"/>
            <w:sz w:val="26"/>
            <w:szCs w:val="26"/>
            <w:u w:val="single"/>
            <w:lang w:val="en-US"/>
          </w:rPr>
          <w:t>gov</w:t>
        </w:r>
        <w:proofErr w:type="spellEnd"/>
        <w:r w:rsidRPr="00892FB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892FBF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892FBF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892FBF" w:rsidP="00892FBF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892FBF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2FBF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  <w:num w:numId="2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B438E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0669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3B9C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67A7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2FBF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381B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C7248-2C5E-4C55-A860-0D22BC4A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6</Pages>
  <Words>2211</Words>
  <Characters>15992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18167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368</cp:revision>
  <cp:lastPrinted>2017-07-05T08:05:00Z</cp:lastPrinted>
  <dcterms:created xsi:type="dcterms:W3CDTF">2015-10-13T08:17:00Z</dcterms:created>
  <dcterms:modified xsi:type="dcterms:W3CDTF">2020-06-03T03:12:00Z</dcterms:modified>
</cp:coreProperties>
</file>