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firstLine="709"/>
        <w:jc w:val="center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2"/>
        <w:jc w:val="center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о проведении аукциона в электронной форме </w:t>
      </w:r>
      <w:r>
        <w:rPr>
          <w:sz w:val="22"/>
          <w:szCs w:val="22"/>
        </w:rPr>
        <w:t xml:space="preserve">с открытой формой подачи предложений о цене</w:t>
      </w:r>
      <w:r>
        <w:rPr>
          <w:sz w:val="22"/>
          <w:szCs w:val="22"/>
        </w:rPr>
        <w:t xml:space="preserve"> по продаже государственного имущества Новосибирской области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Департамент имущества и земельных отношений Новосибирской области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 xml:space="preserve">объявляет аукцион в электронной форме с открытой формой подачи предложений о цене по продаже государственного имущества Новосибирской области, который состоится </w:t>
      </w:r>
      <w:r>
        <w:rPr>
          <w:b/>
          <w:bCs/>
          <w:sz w:val="22"/>
          <w:szCs w:val="22"/>
          <w:highlight w:val="yellow"/>
        </w:rPr>
      </w:r>
      <w:r>
        <w:rPr>
          <w:b/>
          <w:bCs/>
          <w:sz w:val="22"/>
          <w:szCs w:val="22"/>
          <w:highlight w:val="yellow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  <w:t xml:space="preserve">05</w:t>
      </w:r>
      <w:r>
        <w:rPr>
          <w:b/>
          <w:sz w:val="22"/>
          <w:szCs w:val="22"/>
          <w:highlight w:val="white"/>
        </w:rPr>
        <w:t xml:space="preserve"> августа</w:t>
      </w:r>
      <w:r>
        <w:rPr>
          <w:b/>
          <w:sz w:val="22"/>
          <w:szCs w:val="22"/>
          <w:highlight w:val="white"/>
        </w:rPr>
        <w:t xml:space="preserve"> 202</w:t>
      </w:r>
      <w:r>
        <w:rPr>
          <w:b/>
          <w:sz w:val="22"/>
          <w:szCs w:val="22"/>
          <w:highlight w:val="white"/>
        </w:rPr>
        <w:t xml:space="preserve">4 года в 1</w:t>
      </w:r>
      <w:r>
        <w:rPr>
          <w:b/>
          <w:sz w:val="22"/>
          <w:szCs w:val="22"/>
          <w:highlight w:val="white"/>
        </w:rPr>
        <w:t xml:space="preserve">1-00 час. 00 мин. по местному времени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Место проведения аукциона в электронной форме: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электронная площадка «РТС-тендер»</w:t>
      </w:r>
      <w:r>
        <w:rPr>
          <w:sz w:val="22"/>
          <w:szCs w:val="22"/>
        </w:rPr>
        <w:t xml:space="preserve"> </w:t>
      </w:r>
      <w:hyperlink r:id="rId12" w:tooltip="http://www.rts-tender.ru" w:history="1">
        <w:r>
          <w:rPr>
            <w:sz w:val="22"/>
            <w:szCs w:val="22"/>
          </w:rPr>
          <w:t xml:space="preserve">www.rts-tender.ru</w:t>
        </w:r>
      </w:hyperlink>
      <w:r>
        <w:rPr>
          <w:sz w:val="22"/>
          <w:szCs w:val="22"/>
        </w:rPr>
        <w:t xml:space="preserve"> (секция «</w:t>
      </w:r>
      <w:r>
        <w:rPr>
          <w:sz w:val="22"/>
          <w:szCs w:val="22"/>
        </w:rPr>
        <w:t xml:space="preserve">Имущество</w:t>
      </w:r>
      <w:r>
        <w:rPr>
          <w:sz w:val="22"/>
          <w:szCs w:val="22"/>
        </w:rPr>
        <w:t xml:space="preserve">»)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center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/>
          <w:bCs/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Приватизация объекта недвижимости</w:t>
      </w:r>
      <w:r>
        <w:rPr>
          <w:sz w:val="22"/>
          <w:szCs w:val="22"/>
        </w:rPr>
        <w:t xml:space="preserve"> осуществляется в соответствии с </w:t>
      </w:r>
      <w:r>
        <w:rPr>
          <w:sz w:val="22"/>
          <w:szCs w:val="22"/>
        </w:rPr>
        <w:t xml:space="preserve">постановлением Законодательного Собрания Новосибирской области от 25.11.2021 № 211 «О прогнозном плане </w:t>
      </w:r>
      <w:r>
        <w:rPr>
          <w:sz w:val="22"/>
          <w:szCs w:val="22"/>
        </w:rPr>
        <w:t xml:space="preserve">приватизации государственного имущества Новосибирской области на 2024 - 2026 годы» (в редакции от 23.04.2024)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09"/>
        <w:jc w:val="both"/>
        <w:tabs>
          <w:tab w:val="left" w:pos="708" w:leader="none"/>
        </w:tabs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2"/>
        <w:spacing w:before="0"/>
        <w:rPr>
          <w:b/>
          <w:bCs/>
          <w:sz w:val="22"/>
          <w:szCs w:val="22"/>
          <w14:ligatures w14:val="none"/>
        </w:rPr>
      </w:pPr>
      <w:r>
        <w:rPr>
          <w:sz w:val="22"/>
          <w:szCs w:val="22"/>
        </w:rPr>
        <w:t xml:space="preserve">1. </w:t>
      </w:r>
      <w:r>
        <w:rPr>
          <w:sz w:val="22"/>
          <w:szCs w:val="22"/>
        </w:rPr>
        <w:t xml:space="preserve">Лот № 1: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Здание, </w:t>
      </w:r>
      <w:r>
        <w:rPr>
          <w:b/>
          <w:bCs/>
          <w:sz w:val="22"/>
          <w:szCs w:val="22"/>
        </w:rPr>
        <w:t xml:space="preserve">кадастровый номер: 54:10:010102:1396, площадь </w:t>
      </w:r>
      <w:r>
        <w:rPr>
          <w:b/>
          <w:bCs/>
          <w:sz w:val="22"/>
          <w:szCs w:val="22"/>
        </w:rPr>
        <w:t xml:space="preserve">872,6 кв. м, назначение: нежилое здание</w:t>
      </w:r>
      <w:r>
        <w:rPr>
          <w:b/>
          <w:bCs/>
          <w:sz w:val="22"/>
          <w:szCs w:val="22"/>
        </w:rPr>
        <w:t xml:space="preserve">, расположенное по адресу: </w:t>
      </w:r>
      <w:r>
        <w:rPr>
          <w:b/>
          <w:bCs/>
          <w:sz w:val="22"/>
          <w:szCs w:val="22"/>
        </w:rPr>
        <w:t xml:space="preserve">Новосибирская область, Колыванский район, рабочий поселок Колывань, </w:t>
      </w:r>
      <w:r>
        <w:rPr>
          <w:b/>
          <w:bCs/>
          <w:sz w:val="22"/>
          <w:szCs w:val="22"/>
        </w:rPr>
        <w:t xml:space="preserve">улица Гагарина, дом 3</w:t>
      </w:r>
      <w:r>
        <w:rPr>
          <w:b/>
          <w:bCs/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</w:r>
    </w:p>
    <w:p>
      <w:pPr>
        <w:pStyle w:val="872"/>
        <w:ind w:firstLine="708"/>
        <w:spacing w:before="0"/>
        <w:tabs>
          <w:tab w:val="clear" w:pos="4153" w:leader="none"/>
          <w:tab w:val="clear" w:pos="8306" w:leader="none"/>
        </w:tabs>
        <w:rPr>
          <w:sz w:val="22"/>
          <w:szCs w:val="22"/>
          <w14:ligatures w14:val="none"/>
        </w:rPr>
      </w:pPr>
      <w:r>
        <w:rPr>
          <w:b/>
          <w:sz w:val="22"/>
          <w:szCs w:val="22"/>
          <w:highlight w:val="none"/>
        </w:rPr>
      </w:r>
      <w:r>
        <w:rPr>
          <w:sz w:val="22"/>
          <w:szCs w:val="22"/>
        </w:rPr>
        <w:t xml:space="preserve">Решение об условиях приватизации принято приказом департамента имущества и земельных отношений Новосибирской области от 26.06.2024 № 2094 «</w:t>
      </w:r>
      <w:r>
        <w:rPr>
          <w:sz w:val="22"/>
          <w:szCs w:val="22"/>
        </w:rPr>
        <w:t xml:space="preserve">Об условиях приватизации находящегося в государственной собственности Новосибирской области имущества, расположенного по адресу: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Новосибирская область, рабочий поселок Колывань, улица Гагарина, дом 3».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Собственник имущества – Новосибирская область.</w:t>
      </w:r>
      <w:r>
        <w:rPr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firstLine="708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</w:t>
      </w:r>
      <w:r>
        <w:rPr>
          <w:b w:val="0"/>
          <w:bCs w:val="0"/>
          <w:sz w:val="22"/>
          <w:szCs w:val="22"/>
        </w:rPr>
        <w:t xml:space="preserve">Ограничений в пользовании не имеется.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На</w:t>
      </w:r>
      <w:r>
        <w:rPr>
          <w:b w:val="0"/>
          <w:bCs w:val="0"/>
          <w:sz w:val="22"/>
          <w:szCs w:val="22"/>
        </w:rPr>
        <w:t xml:space="preserve">чальная цена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продажи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имущества</w:t>
      </w:r>
      <w:r>
        <w:rPr>
          <w:b w:val="0"/>
          <w:bCs w:val="0"/>
          <w:sz w:val="22"/>
          <w:szCs w:val="22"/>
        </w:rPr>
        <w:t xml:space="preserve"> – 4 981 600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 с учётом НДС.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Размер задатка</w:t>
      </w:r>
      <w:r>
        <w:rPr>
          <w:b w:val="0"/>
          <w:bCs w:val="0"/>
          <w:sz w:val="22"/>
          <w:szCs w:val="22"/>
        </w:rPr>
        <w:t xml:space="preserve"> – 498 160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Величина повышения начальной цены («шаг аукциона»): –</w:t>
      </w:r>
      <w:r>
        <w:rPr>
          <w:b w:val="0"/>
          <w:bCs w:val="0"/>
          <w:sz w:val="22"/>
          <w:szCs w:val="22"/>
        </w:rPr>
        <w:t xml:space="preserve"> 249 080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рублей</w:t>
      </w:r>
      <w:r>
        <w:rPr>
          <w:b w:val="0"/>
          <w:bCs w:val="0"/>
          <w:sz w:val="22"/>
          <w:szCs w:val="22"/>
        </w:rPr>
        <w:t xml:space="preserve">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Средства платежа</w:t>
      </w:r>
      <w:r>
        <w:rPr>
          <w:b w:val="0"/>
          <w:bCs w:val="0"/>
          <w:sz w:val="22"/>
          <w:szCs w:val="22"/>
        </w:rPr>
        <w:t xml:space="preserve">: денежные средства в валюте Российской Федерации (рубли).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>
        <w:rPr>
          <w:b w:val="0"/>
          <w:bCs w:val="0"/>
          <w:sz w:val="22"/>
          <w:szCs w:val="22"/>
        </w:rPr>
        <w:t xml:space="preserve">: </w:t>
      </w:r>
      <w:r>
        <w:rPr>
          <w:b w:val="0"/>
          <w:bCs w:val="0"/>
          <w:sz w:val="22"/>
          <w:szCs w:val="22"/>
        </w:rPr>
        <w:t xml:space="preserve">имущество </w:t>
      </w:r>
      <w:r>
        <w:rPr>
          <w:b w:val="0"/>
          <w:bCs w:val="0"/>
          <w:sz w:val="22"/>
          <w:szCs w:val="22"/>
        </w:rPr>
        <w:t xml:space="preserve">выставлялось</w:t>
      </w:r>
      <w:r>
        <w:rPr>
          <w:b w:val="0"/>
          <w:bCs w:val="0"/>
          <w:sz w:val="22"/>
          <w:szCs w:val="22"/>
        </w:rPr>
        <w:t xml:space="preserve"> на продажу </w:t>
      </w:r>
      <w:r>
        <w:rPr>
          <w:b w:val="0"/>
          <w:bCs w:val="0"/>
          <w:sz w:val="22"/>
          <w:szCs w:val="22"/>
        </w:rPr>
        <w:t xml:space="preserve">один раз в 2023 году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Торги </w:t>
      </w:r>
      <w:r>
        <w:rPr>
          <w:b w:val="0"/>
          <w:bCs w:val="0"/>
          <w:sz w:val="22"/>
          <w:szCs w:val="22"/>
        </w:rPr>
        <w:t xml:space="preserve">признаны не состоявшимися</w:t>
      </w:r>
      <w:r>
        <w:rPr>
          <w:b w:val="0"/>
          <w:bCs w:val="0"/>
          <w:sz w:val="22"/>
          <w:szCs w:val="22"/>
        </w:rPr>
        <w:t xml:space="preserve"> в связи с отсутствием заявок на участие</w:t>
      </w:r>
      <w:r>
        <w:rPr>
          <w:b w:val="0"/>
          <w:bCs w:val="0"/>
          <w:sz w:val="22"/>
          <w:szCs w:val="22"/>
        </w:rPr>
        <w:t xml:space="preserve">. </w:t>
      </w:r>
      <w:r/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7"/>
        <w:ind w:firstLine="709"/>
        <w:tabs>
          <w:tab w:val="left" w:pos="284" w:leader="none"/>
          <w:tab w:val="clear" w:pos="4677" w:leader="none"/>
          <w:tab w:val="clear" w:pos="9355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Здание расположено на земельном участке: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7"/>
        <w:ind w:firstLine="709"/>
        <w:tabs>
          <w:tab w:val="left" w:pos="284" w:leader="none"/>
        </w:tabs>
        <w:rPr>
          <w:b w:val="0"/>
          <w:bCs w:val="0"/>
          <w:sz w:val="22"/>
          <w:szCs w:val="22"/>
          <w14:ligatures w14:val="none"/>
        </w:rPr>
      </w:pP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  <w:t xml:space="preserve">Земельный участок</w:t>
      </w:r>
      <w:r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 xml:space="preserve">кадастровый номер: 54:10:010102:176, площадь </w:t>
      </w:r>
      <w:r>
        <w:rPr>
          <w:b w:val="0"/>
          <w:bCs w:val="0"/>
          <w:sz w:val="22"/>
          <w:szCs w:val="22"/>
        </w:rPr>
        <w:t xml:space="preserve">1640 кв.</w:t>
      </w:r>
      <w:r>
        <w:rPr>
          <w:b w:val="0"/>
          <w:bCs w:val="0"/>
          <w:sz w:val="22"/>
          <w:szCs w:val="22"/>
        </w:rPr>
        <w:t xml:space="preserve"> </w:t>
      </w:r>
      <w:r>
        <w:rPr>
          <w:b w:val="0"/>
          <w:bCs w:val="0"/>
          <w:sz w:val="22"/>
          <w:szCs w:val="22"/>
        </w:rPr>
        <w:t xml:space="preserve">м, категория земель: земли населенных пунктов</w:t>
      </w:r>
      <w:r>
        <w:rPr>
          <w:b w:val="0"/>
          <w:bCs w:val="0"/>
          <w:sz w:val="22"/>
          <w:szCs w:val="22"/>
        </w:rPr>
        <w:t xml:space="preserve">, расположенный по адресу: </w:t>
      </w:r>
      <w:r>
        <w:rPr>
          <w:b w:val="0"/>
          <w:bCs w:val="0"/>
          <w:sz w:val="22"/>
          <w:szCs w:val="22"/>
        </w:rPr>
        <w:t xml:space="preserve">Новосибирская область, Колыванский район, рабочий поселок Колывань, </w:t>
      </w:r>
      <w:r>
        <w:rPr>
          <w:b w:val="0"/>
          <w:bCs w:val="0"/>
          <w:sz w:val="22"/>
          <w:szCs w:val="22"/>
        </w:rPr>
        <w:t xml:space="preserve">улица Гагарина, дом 3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  <w14:ligatures w14:val="none"/>
        </w:rPr>
      </w:r>
    </w:p>
    <w:p>
      <w:pPr>
        <w:pStyle w:val="887"/>
        <w:ind w:firstLine="709"/>
        <w:tabs>
          <w:tab w:val="left" w:pos="284" w:leader="none"/>
          <w:tab w:val="clear" w:pos="4153" w:leader="none"/>
          <w:tab w:val="clear" w:pos="8306" w:leader="none"/>
        </w:tabs>
        <w:rPr>
          <w14:ligatures w14:val="none"/>
        </w:rPr>
      </w:pPr>
      <w:r>
        <w:rPr>
          <w:b w:val="0"/>
          <w:bCs w:val="0"/>
          <w:sz w:val="22"/>
          <w:szCs w:val="22"/>
        </w:rPr>
        <w:t xml:space="preserve">Цена выкупа указанного земельного участка 882 550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рубл</w:t>
      </w:r>
      <w:r>
        <w:rPr>
          <w:b w:val="0"/>
          <w:bCs w:val="0"/>
          <w:sz w:val="22"/>
          <w:szCs w:val="22"/>
        </w:rPr>
        <w:t xml:space="preserve">ей </w:t>
      </w:r>
      <w:r>
        <w:rPr>
          <w:b w:val="0"/>
          <w:bCs w:val="0"/>
          <w:sz w:val="22"/>
          <w:szCs w:val="22"/>
        </w:rPr>
        <w:t xml:space="preserve">без учёта </w:t>
      </w:r>
      <w:r>
        <w:rPr>
          <w:b w:val="0"/>
          <w:bCs w:val="0"/>
          <w:sz w:val="22"/>
          <w:szCs w:val="22"/>
        </w:rPr>
        <w:t xml:space="preserve">налога на добавленную стоимость</w:t>
      </w:r>
      <w:r>
        <w:rPr>
          <w:b w:val="0"/>
          <w:bCs w:val="0"/>
          <w:sz w:val="22"/>
          <w:szCs w:val="22"/>
        </w:rPr>
        <w:t xml:space="preserve">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</w:rPr>
        <w:t xml:space="preserve">Земельный участок не входит в состав лота. Победитель аукциона либо лицо, признанное единственным участником аукци</w:t>
      </w:r>
      <w:r>
        <w:rPr>
          <w:b/>
          <w:bCs/>
          <w:i/>
          <w:sz w:val="22"/>
          <w:szCs w:val="22"/>
        </w:rPr>
        <w:t xml:space="preserve">она, в случае, установленном в п. 3 ст. 18 Федерального закона от 21.12.2001 № 178-ФЗ «О приватизации государственного и муниципального имущества», обязан заключить договор купли-продажи земельного участка одновременно с договором купли-продажи имущества. </w:t>
      </w: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p>
      <w:pPr>
        <w:pStyle w:val="888"/>
        <w:ind w:firstLine="720"/>
        <w:jc w:val="both"/>
        <w:tabs>
          <w:tab w:val="left" w:pos="708" w:leader="none"/>
        </w:tabs>
        <w:rPr>
          <w:b/>
          <w:bCs/>
          <w:i/>
          <w:sz w:val="22"/>
          <w:szCs w:val="22"/>
          <w:highlight w:val="none"/>
        </w:rPr>
      </w:pPr>
      <w:r>
        <w:rPr>
          <w:b/>
          <w:bCs/>
          <w:i/>
          <w:sz w:val="22"/>
          <w:szCs w:val="22"/>
          <w:highlight w:val="none"/>
        </w:rPr>
      </w:r>
      <w:r>
        <w:rPr>
          <w:b/>
          <w:bCs/>
          <w:i/>
          <w:sz w:val="22"/>
          <w:szCs w:val="22"/>
          <w:highlight w:val="none"/>
        </w:rPr>
      </w:r>
    </w:p>
    <w:tbl>
      <w:tblPr>
        <w:tblStyle w:val="724"/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609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начала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02.07.2024</w:t>
            </w:r>
            <w:r>
              <w:rPr>
                <w:b/>
                <w:sz w:val="22"/>
                <w:szCs w:val="22"/>
                <w:highlight w:val="white"/>
              </w:rPr>
              <w:t xml:space="preserve"> с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0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Дата и время окончания подачи заявок: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29.07.2024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12</w:t>
            </w:r>
            <w:r>
              <w:rPr>
                <w:b/>
                <w:sz w:val="22"/>
                <w:szCs w:val="22"/>
                <w:highlight w:val="white"/>
              </w:rPr>
              <w:t xml:space="preserve"> час. 00 мин</w:t>
            </w:r>
            <w:r>
              <w:rPr>
                <w:sz w:val="22"/>
                <w:szCs w:val="22"/>
                <w:highlight w:val="white"/>
              </w:rPr>
              <w:t xml:space="preserve">. </w:t>
            </w:r>
            <w:r>
              <w:rPr>
                <w:b/>
                <w:sz w:val="22"/>
                <w:szCs w:val="22"/>
                <w:highlight w:val="white"/>
              </w:rPr>
              <w:t xml:space="preserve">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времени</w:t>
            </w:r>
            <w:r>
              <w:rPr>
                <w:sz w:val="22"/>
                <w:szCs w:val="22"/>
                <w:highlight w:val="white"/>
              </w:rPr>
              <w:t xml:space="preserve">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Дат</w:t>
            </w:r>
            <w:r>
              <w:rPr>
                <w:sz w:val="22"/>
                <w:szCs w:val="22"/>
                <w:highlight w:val="white"/>
              </w:rPr>
              <w:t xml:space="preserve">а определения участков аукциона</w:t>
            </w:r>
            <w:r>
              <w:rPr>
                <w:sz w:val="22"/>
                <w:szCs w:val="22"/>
                <w:highlight w:val="white"/>
              </w:rPr>
              <w:t xml:space="preserve">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4" w:type="dxa"/>
            <w:textDirection w:val="lrTb"/>
            <w:noWrap w:val="false"/>
          </w:tcPr>
          <w:p>
            <w:pPr>
              <w:pStyle w:val="872"/>
              <w:contextualSpacing w:val="0"/>
              <w:ind w:firstLine="0"/>
              <w:jc w:val="both"/>
              <w:spacing w:before="0"/>
              <w:shd w:val="clear" w:color="ffffff" w:themeColor="background1" w:fill="ffffff"/>
              <w:rPr>
                <w:sz w:val="22"/>
                <w:szCs w:val="22"/>
                <w:highlight w:val="white"/>
              </w:rPr>
              <w:suppressLineNumbers w:val="0"/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02.08.2024</w:t>
            </w:r>
            <w:r>
              <w:rPr>
                <w:b/>
                <w:sz w:val="22"/>
                <w:szCs w:val="22"/>
                <w:highlight w:val="white"/>
              </w:rPr>
              <w:t xml:space="preserve"> в </w:t>
            </w:r>
            <w:r>
              <w:rPr>
                <w:b/>
                <w:sz w:val="22"/>
                <w:szCs w:val="22"/>
                <w:highlight w:val="white"/>
              </w:rPr>
              <w:t xml:space="preserve">1</w:t>
            </w:r>
            <w:r>
              <w:rPr>
                <w:b/>
                <w:sz w:val="22"/>
                <w:szCs w:val="22"/>
                <w:highlight w:val="white"/>
              </w:rPr>
              <w:t xml:space="preserve">2 час. 00 мин. по </w:t>
            </w:r>
            <w:r>
              <w:rPr>
                <w:b/>
                <w:sz w:val="22"/>
                <w:szCs w:val="22"/>
                <w:highlight w:val="white"/>
              </w:rPr>
              <w:t xml:space="preserve">местному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времени.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Место и срок подведения итого продажи имущества</w:t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  <w:r>
        <w:rPr>
          <w:rFonts w:eastAsia="Calibri"/>
          <w:b/>
          <w:bCs/>
          <w:sz w:val="22"/>
          <w:szCs w:val="22"/>
          <w:highlight w:val="white"/>
        </w:rPr>
      </w:r>
    </w:p>
    <w:p>
      <w:pPr>
        <w:pStyle w:val="872"/>
        <w:ind w:firstLine="0"/>
        <w:jc w:val="both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ab/>
        <w:t xml:space="preserve">Место подведения итогов: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электронная торговая площадка ООО «РТС-тендер» </w:t>
      </w:r>
      <w:r>
        <w:rPr>
          <w:b w:val="0"/>
          <w:bCs w:val="0"/>
          <w:sz w:val="22"/>
          <w:szCs w:val="22"/>
          <w:highlight w:val="white"/>
        </w:rPr>
      </w:r>
      <w:hyperlink r:id="rId13" w:tooltip="http://www.rts-tender.ru" w:history="1">
        <w:r>
          <w:rPr>
            <w:b w:val="0"/>
            <w:bCs w:val="0"/>
            <w:sz w:val="22"/>
            <w:szCs w:val="22"/>
            <w:highlight w:val="white"/>
            <w:lang w:val="en-US"/>
          </w:rPr>
          <w:t xml:space="preserve">(</w:t>
        </w:r>
        <w:r>
          <w:rPr>
            <w:b w:val="0"/>
            <w:bCs w:val="0"/>
            <w:sz w:val="22"/>
            <w:szCs w:val="22"/>
            <w:highlight w:val="white"/>
          </w:rPr>
          <w:t xml:space="preserve">www.rts-tender.ru</w:t>
        </w:r>
      </w:hyperlink>
      <w:r>
        <w:rPr>
          <w:b w:val="0"/>
          <w:bCs w:val="0"/>
          <w:sz w:val="22"/>
          <w:szCs w:val="22"/>
          <w:highlight w:val="white"/>
        </w:rPr>
        <w:t xml:space="preserve"> (секция «</w:t>
      </w:r>
      <w:r>
        <w:rPr>
          <w:b w:val="0"/>
          <w:bCs w:val="0"/>
          <w:sz w:val="22"/>
          <w:szCs w:val="22"/>
          <w:highlight w:val="white"/>
        </w:rPr>
        <w:t xml:space="preserve">Имущество</w:t>
      </w:r>
      <w:r>
        <w:rPr>
          <w:b w:val="0"/>
          <w:bCs w:val="0"/>
          <w:sz w:val="22"/>
          <w:szCs w:val="22"/>
          <w:highlight w:val="white"/>
        </w:rPr>
        <w:t xml:space="preserve">»)</w:t>
      </w:r>
      <w:r>
        <w:rPr>
          <w:rFonts w:eastAsia="Calibri"/>
          <w:b w:val="0"/>
          <w:bCs w:val="0"/>
          <w:sz w:val="22"/>
          <w:szCs w:val="22"/>
          <w:highlight w:val="none"/>
        </w:rPr>
        <w:t xml:space="preserve">.</w:t>
      </w:r>
      <w:r>
        <w:rPr>
          <w:rFonts w:eastAsia="Calibri"/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Срок подведения итого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в: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val="ru-RU"/>
        </w:rPr>
        <w:t xml:space="preserve">05 августа 2024 года</w:t>
      </w:r>
      <w:r>
        <w:rPr>
          <w:b/>
          <w:sz w:val="22"/>
          <w:szCs w:val="22"/>
          <w:highlight w:val="white"/>
        </w:rPr>
        <w:t xml:space="preserve">.</w:t>
      </w:r>
      <w:r>
        <w:rPr>
          <w:b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sz w:val="22"/>
          <w:szCs w:val="22"/>
          <w:highlight w:val="green"/>
        </w:rPr>
      </w:pPr>
      <w:r>
        <w:rPr>
          <w:sz w:val="22"/>
          <w:szCs w:val="22"/>
          <w:highlight w:val="green"/>
        </w:rPr>
      </w:r>
      <w:r>
        <w:rPr>
          <w:sz w:val="22"/>
          <w:szCs w:val="22"/>
          <w:highlight w:val="green"/>
        </w:rPr>
      </w:r>
      <w:r>
        <w:rPr>
          <w:sz w:val="22"/>
          <w:szCs w:val="22"/>
          <w:highlight w:val="green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Для обеспечения доступа к участию в электронном аукционе Претенденту необходимо пройти процедуру регистрации в ГИС Торги </w:t>
      </w:r>
      <w:r>
        <w:rPr>
          <w:sz w:val="22"/>
          <w:szCs w:val="22"/>
        </w:rPr>
        <w:t xml:space="preserve">(официальный сайт Российской Федерации в информационно-телекоммуникационной сети «Интернет» </w:t>
      </w:r>
      <w:r>
        <w:rPr>
          <w:sz w:val="22"/>
          <w:szCs w:val="22"/>
        </w:rPr>
        <w:t xml:space="preserve">для размещения информации о проведении торгов</w:t>
      </w:r>
      <w:r>
        <w:rPr>
          <w:sz w:val="22"/>
          <w:szCs w:val="22"/>
        </w:rPr>
        <w:t xml:space="preserve"> www.torgi.gov.ru)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претендентов на участие в Процедуре осуществляется ежедневно, круглосуточно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Регистрация в ГИС Торги осуществляется без взимания платы.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</w:t>
      </w:r>
      <w:r>
        <w:rPr>
          <w:sz w:val="22"/>
          <w:szCs w:val="22"/>
        </w:rPr>
        <w:t xml:space="preserve">ия документов.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  <w:t xml:space="preserve">После регистрации в ГИС Торги информация автоматически направляется на электронные площадки  по защищённым каналам. Операторы электронных площадок регистрируют участника торгов на электронной площадке не позднее рабочего дня, следующего за </w:t>
      </w:r>
      <w:r>
        <w:rPr>
          <w:sz w:val="22"/>
          <w:szCs w:val="22"/>
        </w:rPr>
        <w:t xml:space="preserve">днем его регистрации в ГИС Торги.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widowControl w:val="off"/>
        <w:rPr>
          <w:sz w:val="22"/>
          <w:szCs w:val="22"/>
          <w:highlight w:val="none"/>
        </w:rPr>
      </w:pPr>
      <w:r>
        <w:rPr>
          <w:sz w:val="22"/>
          <w:szCs w:val="22"/>
        </w:rPr>
      </w:r>
      <w:r>
        <w:rPr>
          <w:sz w:val="22"/>
          <w:szCs w:val="22"/>
        </w:rPr>
        <w:t xml:space="preserve">В случае если Претендент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представить скан-образ доверенности</w:t>
      </w:r>
      <w:r>
        <w:rPr>
          <w:sz w:val="22"/>
          <w:szCs w:val="22"/>
        </w:rPr>
        <w:t xml:space="preserve"> в составе заявки на электронной площадке.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Регистрации в ГИС Торги подлежат Претенден</w:t>
      </w:r>
      <w:r>
        <w:rPr>
          <w:sz w:val="22"/>
          <w:szCs w:val="22"/>
        </w:rPr>
        <w:t xml:space="preserve">ты, ранее не зарегистрированные</w:t>
      </w:r>
      <w:r>
        <w:rPr>
          <w:sz w:val="22"/>
          <w:szCs w:val="22"/>
        </w:rPr>
        <w:br/>
        <w:t xml:space="preserve">в ГИС Торги</w:t>
      </w:r>
      <w:r>
        <w:rPr>
          <w:sz w:val="22"/>
          <w:szCs w:val="22"/>
        </w:rPr>
        <w:t xml:space="preserve"> или регистрация которых в ГИС Торги была ими прекращена.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Подробно с информацией о регистрации в ГИС Торги можно ознакомиться на сайте</w:t>
      </w:r>
      <w:r>
        <w:rPr>
          <w:sz w:val="22"/>
          <w:szCs w:val="22"/>
          <w:highlight w:val="none"/>
        </w:rPr>
        <w:t xml:space="preserve"> в руководстве пользователя, размещенной в открытой части ГИС Торги в разделе «Служба поддержки»_ «Информационные материалы».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  <w:highlight w:val="white"/>
        </w:rPr>
        <w:t xml:space="preserve">Порядок и место подачи заявок: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</w:t>
      </w:r>
      <w:r>
        <w:rPr>
          <w:sz w:val="22"/>
          <w:szCs w:val="22"/>
          <w:highlight w:val="white"/>
        </w:rPr>
        <w:t xml:space="preserve">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либо лица, имеющего право действовать от имени Претендента. На</w:t>
      </w:r>
      <w:r>
        <w:rPr>
          <w:sz w:val="22"/>
          <w:szCs w:val="22"/>
          <w:highlight w:val="white"/>
        </w:rPr>
        <w:t xml:space="preserve">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</w:t>
      </w:r>
      <w:r>
        <w:rPr>
          <w:sz w:val="22"/>
          <w:szCs w:val="22"/>
          <w:highlight w:val="white"/>
        </w:rPr>
        <w:t xml:space="preserve">верность таких документов и сведений.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4" w:tooltip="https://www.lot-online.ru/" w:history="1">
        <w:r>
          <w:rPr>
            <w:sz w:val="22"/>
            <w:szCs w:val="22"/>
            <w:highlight w:val="white"/>
          </w:rPr>
          <w:t xml:space="preserve">https:</w:t>
        </w:r>
        <w:r>
          <w:rPr>
            <w:sz w:val="22"/>
            <w:szCs w:val="22"/>
            <w:highlight w:val="white"/>
          </w:rPr>
          <w:t xml:space="preserve">//</w:t>
        </w:r>
        <w:r>
          <w:rPr>
            <w:sz w:val="22"/>
            <w:szCs w:val="22"/>
            <w:highlight w:val="white"/>
          </w:rPr>
          <w:t xml:space="preserve">www.rts-tender.ru</w:t>
        </w:r>
        <w:r>
          <w:rPr>
            <w:sz w:val="22"/>
            <w:szCs w:val="22"/>
            <w:highlight w:val="white"/>
          </w:rPr>
          <w:t xml:space="preserve">/</w:t>
        </w:r>
      </w:hyperlink>
      <w:r>
        <w:rPr>
          <w:sz w:val="22"/>
          <w:szCs w:val="22"/>
          <w:highlight w:val="white"/>
        </w:rPr>
        <w:t xml:space="preserve">, с приложением электронных образов следующих документов</w:t>
      </w:r>
      <w:r>
        <w:rPr>
          <w:sz w:val="22"/>
          <w:szCs w:val="22"/>
          <w:highlight w:val="white"/>
        </w:rPr>
        <w:t xml:space="preserve">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b/>
          <w:bCs/>
          <w:i/>
          <w:iCs/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Юридические лица предоставляют:</w:t>
      </w:r>
      <w:r>
        <w:rPr>
          <w:b/>
          <w:bCs/>
          <w:i/>
          <w:iCs/>
          <w:sz w:val="22"/>
          <w:szCs w:val="22"/>
          <w:highlight w:val="white"/>
        </w:rPr>
      </w:r>
      <w:r>
        <w:rPr>
          <w:b/>
          <w:bCs/>
          <w:i/>
          <w:i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Заверенные копии учредительных документов Заявителя;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 Документ, содержащий сведения о доле Российской Фе</w:t>
      </w:r>
      <w:r>
        <w:rPr>
          <w:sz w:val="22"/>
          <w:szCs w:val="22"/>
          <w:highlight w:val="whit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- Документ, который подтверждает полномочия руководителя юрид</w:t>
      </w:r>
      <w:r>
        <w:rPr>
          <w:sz w:val="22"/>
          <w:szCs w:val="22"/>
          <w:highlight w:val="whit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b/>
          <w:bCs/>
          <w:i/>
          <w:iCs/>
          <w:sz w:val="22"/>
          <w:szCs w:val="22"/>
          <w:highlight w:val="white"/>
        </w:rPr>
        <w:t xml:space="preserve">Физические лица предъявляют </w:t>
      </w:r>
      <w:r>
        <w:rPr>
          <w:b/>
          <w:bCs/>
          <w:i/>
          <w:iCs/>
          <w:sz w:val="22"/>
          <w:szCs w:val="22"/>
          <w:highlight w:val="white"/>
        </w:rPr>
        <w:t xml:space="preserve">копию всех листов документа, удостоверяющего личность</w:t>
      </w:r>
      <w:r>
        <w:rPr>
          <w:b/>
          <w:bCs/>
          <w:i/>
          <w:iCs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К данным документам также прилагается их опись.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</w:t>
      </w:r>
      <w:r>
        <w:rPr>
          <w:sz w:val="22"/>
          <w:szCs w:val="22"/>
          <w:highlight w:val="white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Одно лицо имеет право подать только одну заявку.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:u w:val="single"/>
        </w:rPr>
        <w:t xml:space="preserve">Срок и порядок внесения задатка, необходимые реквизиты счетов: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для участия в аукци</w:t>
      </w:r>
      <w:r>
        <w:rPr>
          <w:sz w:val="22"/>
          <w:szCs w:val="22"/>
          <w:highlight w:val="white"/>
        </w:rPr>
        <w:t xml:space="preserve">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Задаток должен поступить не позднее</w:t>
      </w:r>
      <w:r>
        <w:rPr>
          <w:sz w:val="22"/>
          <w:szCs w:val="22"/>
          <w:highlight w:val="white"/>
        </w:rPr>
        <w:t xml:space="preserve"> </w:t>
      </w:r>
      <w:r>
        <w:rPr>
          <w:b/>
          <w:bCs/>
          <w:sz w:val="22"/>
          <w:szCs w:val="22"/>
          <w:highlight w:val="white"/>
        </w:rPr>
        <w:t xml:space="preserve">29.07.2024 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п</w:t>
      </w:r>
      <w:r>
        <w:rPr>
          <w:sz w:val="22"/>
          <w:szCs w:val="22"/>
          <w:highlight w:val="white"/>
        </w:rPr>
        <w:t xml:space="preserve">о следующим реквизитам: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Получатель: </w:t>
      </w:r>
      <w:r>
        <w:rPr>
          <w:sz w:val="22"/>
          <w:szCs w:val="22"/>
          <w:highlight w:val="white"/>
        </w:rPr>
        <w:t xml:space="preserve">МФиНП</w:t>
      </w:r>
      <w:r>
        <w:rPr>
          <w:sz w:val="22"/>
          <w:szCs w:val="22"/>
          <w:highlight w:val="white"/>
        </w:rPr>
        <w:t xml:space="preserve"> НСО (</w:t>
      </w:r>
      <w:r>
        <w:rPr>
          <w:sz w:val="22"/>
          <w:szCs w:val="22"/>
          <w:highlight w:val="white"/>
        </w:rPr>
        <w:t xml:space="preserve">ДИиЗО</w:t>
      </w:r>
      <w:r>
        <w:rPr>
          <w:sz w:val="22"/>
          <w:szCs w:val="22"/>
          <w:highlight w:val="white"/>
        </w:rPr>
        <w:t xml:space="preserve"> НСО, л/с190010013</w:t>
      </w:r>
      <w:r>
        <w:rPr>
          <w:sz w:val="22"/>
          <w:szCs w:val="22"/>
          <w:highlight w:val="white"/>
        </w:rPr>
        <w:t xml:space="preserve">)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ИНН 5406214965 / КПП 540601001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Сибирское ГУ Банка России</w:t>
      </w:r>
      <w:r>
        <w:rPr>
          <w:sz w:val="22"/>
          <w:szCs w:val="22"/>
          <w:highlight w:val="white"/>
        </w:rPr>
        <w:t xml:space="preserve">//УФК по Новосибирской области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г.Новосибирск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БИК </w:t>
      </w:r>
      <w:r>
        <w:rPr>
          <w:sz w:val="22"/>
          <w:szCs w:val="22"/>
          <w:highlight w:val="white"/>
        </w:rPr>
        <w:t xml:space="preserve">015004950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р/с 40102810445370000043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л/с </w:t>
      </w:r>
      <w:r>
        <w:rPr>
          <w:sz w:val="22"/>
          <w:szCs w:val="22"/>
          <w:highlight w:val="white"/>
        </w:rPr>
        <w:t xml:space="preserve">03222643500000005100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ОКТМО 50701000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КБК 00000000000000000510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8"/>
          <w:szCs w:val="28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Назначение платежа: Перечисление задатка для участия</w:t>
      </w:r>
      <w:r>
        <w:rPr>
          <w:sz w:val="22"/>
          <w:szCs w:val="22"/>
          <w:highlight w:val="none"/>
        </w:rPr>
        <w:t xml:space="preserve"> в аукционе. Без НДС.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</w:rPr>
        <w:t xml:space="preserve">Документом, подтверждающим поступление задатка на счет, является выписка с этого счет</w:t>
      </w:r>
      <w:r>
        <w:rPr>
          <w:sz w:val="22"/>
          <w:szCs w:val="22"/>
          <w:highlight w:val="white"/>
        </w:rPr>
        <w:t xml:space="preserve">а</w:t>
      </w:r>
      <w:r>
        <w:rPr>
          <w:sz w:val="22"/>
          <w:szCs w:val="22"/>
          <w:highlight w:val="none"/>
          <w14:ligatures w14:val="none"/>
        </w:rPr>
        <w:t xml:space="preserve">.</w:t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  <w14:ligatures w14:val="none"/>
        </w:rPr>
      </w:pP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  <w:r>
        <w:rPr>
          <w:sz w:val="22"/>
          <w:szCs w:val="22"/>
          <w:highlight w:val="white"/>
          <w14:ligatures w14:val="non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Данное информационное сообщение является публичной офертой для з</w:t>
      </w:r>
      <w:r>
        <w:rPr>
          <w:sz w:val="22"/>
          <w:szCs w:val="22"/>
          <w:highlight w:val="whit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Плат</w:t>
      </w:r>
      <w:r>
        <w:rPr>
          <w:sz w:val="22"/>
          <w:szCs w:val="22"/>
          <w:highlight w:val="white"/>
        </w:rPr>
        <w:t xml:space="preserve">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случаях отзыва претендентом заявки: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Заключение договора купли-продажи для победителя Процедуры является обязательным.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Не позднее следующего ра</w:t>
      </w:r>
      <w:r>
        <w:rPr>
          <w:sz w:val="22"/>
          <w:szCs w:val="22"/>
        </w:rPr>
        <w:t xml:space="preserve">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2"/>
        <w:jc w:val="center"/>
        <w:spacing w:before="0"/>
        <w:rPr>
          <w:rFonts w:eastAsia="Calibri"/>
          <w:b/>
          <w:bCs/>
          <w:sz w:val="22"/>
          <w:szCs w:val="22"/>
          <w:highlight w:val="none"/>
          <w:lang w:eastAsia="en-US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  <w:t xml:space="preserve">Порядок определения победителей аукциона</w:t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  <w:r>
        <w:rPr>
          <w:rFonts w:eastAsia="Calibri"/>
          <w:b/>
          <w:bCs/>
          <w:sz w:val="22"/>
          <w:szCs w:val="22"/>
          <w:highlight w:val="none"/>
          <w:lang w:eastAsia="en-US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rFonts w:eastAsia="Calibri"/>
          <w:b/>
          <w:bCs/>
          <w:sz w:val="22"/>
          <w:szCs w:val="22"/>
          <w:highlight w:val="white"/>
          <w:lang w:eastAsia="en-US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rFonts w:eastAsia="Calibri"/>
          <w:b w:val="0"/>
          <w:bCs w:val="0"/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При участии в аукционе двух и более претендентов, победителем аукциона признается участник, предложивший наиболее высокую цену за имущество.</w:t>
      </w:r>
      <w:r>
        <w:rPr>
          <w:b w:val="0"/>
          <w:bCs w:val="0"/>
          <w:sz w:val="22"/>
          <w:szCs w:val="22"/>
          <w:highlight w:val="white"/>
        </w:rPr>
        <w:t xml:space="preserve"> 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имущества.</w:t>
      </w:r>
      <w:r>
        <w:rPr>
          <w:rFonts w:eastAsia="Calibri"/>
          <w:b w:val="0"/>
          <w:bCs w:val="0"/>
          <w:sz w:val="22"/>
          <w:szCs w:val="22"/>
          <w:highlight w:val="white"/>
          <w:lang w:eastAsia="en-US"/>
        </w:rPr>
        <w:t xml:space="preserve"> 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Fonts w:eastAsia="Calibri"/>
          <w:b w:val="0"/>
          <w:bCs w:val="0"/>
          <w:sz w:val="22"/>
          <w:szCs w:val="22"/>
          <w:highlight w:val="white"/>
        </w:rPr>
      </w:r>
      <w:r>
        <w:rPr>
          <w:rFonts w:eastAsia="Calibri"/>
          <w:b w:val="0"/>
          <w:bCs w:val="0"/>
          <w:sz w:val="22"/>
          <w:szCs w:val="22"/>
          <w:highlight w:val="white"/>
        </w:rPr>
      </w:r>
    </w:p>
    <w:p>
      <w:pPr>
        <w:contextualSpacing/>
        <w:ind w:firstLine="709"/>
        <w:jc w:val="both"/>
        <w:rPr>
          <w:rFonts w:eastAsia="Calibri"/>
          <w:b/>
          <w:sz w:val="22"/>
          <w:szCs w:val="22"/>
          <w:highlight w:val="white"/>
        </w:rPr>
      </w:pPr>
      <w:r>
        <w:rPr>
          <w:rFonts w:eastAsia="Calibri"/>
          <w:b/>
          <w:sz w:val="22"/>
          <w:szCs w:val="22"/>
          <w:highlight w:val="white"/>
          <w:lang w:eastAsia="en-US"/>
        </w:rPr>
      </w:r>
      <w:r>
        <w:rPr>
          <w:rFonts w:eastAsia="Calibri"/>
          <w:b/>
          <w:sz w:val="22"/>
          <w:szCs w:val="22"/>
          <w:highlight w:val="white"/>
        </w:rPr>
      </w:r>
      <w:r>
        <w:rPr>
          <w:rFonts w:eastAsia="Calibri"/>
          <w:b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Срок заключения договора купли-продажи в</w:t>
      </w:r>
      <w:r>
        <w:rPr>
          <w:b/>
          <w:bCs/>
          <w:sz w:val="22"/>
          <w:szCs w:val="22"/>
          <w:highlight w:val="white"/>
        </w:rPr>
        <w:t xml:space="preserve"> течение пяти рабочих дней</w:t>
      </w:r>
      <w:r>
        <w:rPr>
          <w:sz w:val="22"/>
          <w:szCs w:val="22"/>
          <w:highlight w:val="white"/>
        </w:rPr>
        <w:t xml:space="preserve"> с даты подведения итогов аукциона.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jc w:val="center"/>
        <w:spacing w:before="0"/>
        <w:rPr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white"/>
        </w:rPr>
        <w:t xml:space="preserve">Условия и сроки платежа, необходимые реквизиты счетов: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Оплата имущества должна быть произведена </w:t>
      </w:r>
      <w:r>
        <w:rPr>
          <w:b w:val="0"/>
          <w:bCs w:val="0"/>
          <w:sz w:val="22"/>
          <w:szCs w:val="22"/>
          <w:highlight w:val="white"/>
        </w:rPr>
        <w:t xml:space="preserve">не позднее 10 рабочих дней со дня заключения договора купли-продажи по следующим реквизитам: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Наименование получателя платежа: Управление Федерального казначейства по Новосибирской области (Департамент имущества и земельных отношений Новосибирской области, л/сч 04512005970).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ИНН получателя платежа: 5406214965.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КПП получателя платежа: 540601001.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Расчетный счет получателя: 03100643000000015100 в Сибирском ГУ Банка России // УФК по Новосибирской области г. Новосибирск. БИК 015004950.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бюджетной классификации (КБК): 120 1 14 02023 02 0000 410</w:t>
      </w:r>
      <w:r>
        <w:rPr>
          <w:b w:val="0"/>
          <w:bCs w:val="0"/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1"/>
        <w:ind w:left="0" w:right="22"/>
        <w:rPr>
          <w:sz w:val="22"/>
          <w:szCs w:val="22"/>
          <w:highlight w:val="white"/>
        </w:rPr>
      </w:pPr>
      <w:r>
        <w:rPr>
          <w:b w:val="0"/>
          <w:bCs w:val="0"/>
          <w:sz w:val="22"/>
          <w:szCs w:val="22"/>
          <w:highlight w:val="white"/>
        </w:rPr>
        <w:t xml:space="preserve">Код ОКТМО: 50701000.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right="22"/>
        <w:jc w:val="both"/>
        <w:tabs>
          <w:tab w:val="num" w:pos="0" w:leader="none"/>
        </w:tabs>
        <w:rPr>
          <w:sz w:val="22"/>
          <w:szCs w:val="22"/>
        </w:rPr>
      </w:pPr>
      <w:r>
        <w:rPr>
          <w:sz w:val="22"/>
          <w:szCs w:val="22"/>
          <w:highlight w:val="white"/>
        </w:rPr>
        <w:tab/>
        <w:t xml:space="preserve">Победитель аукциона, являющийся налоговым агентом, за исключением фи</w:t>
      </w:r>
      <w:r>
        <w:rPr>
          <w:sz w:val="22"/>
          <w:szCs w:val="22"/>
        </w:rPr>
        <w:t xml:space="preserve">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0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  <w:t xml:space="preserve">Ограничения участия отдельных категорий физических лиц и юридических лиц в приватизации имущества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государственных и муниципальных унитарных предприятий, государственных и муниципальных учреждений;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ю</w:t>
      </w:r>
      <w:r>
        <w:rPr>
          <w:sz w:val="22"/>
          <w:szCs w:val="22"/>
          <w:highlight w:val="white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</w:t>
      </w:r>
      <w:r>
        <w:rPr>
          <w:sz w:val="22"/>
          <w:szCs w:val="22"/>
          <w:highlight w:val="white"/>
        </w:rPr>
        <w:t xml:space="preserve">у</w:t>
      </w:r>
      <w:r>
        <w:rPr>
          <w:sz w:val="22"/>
          <w:szCs w:val="22"/>
          <w:highlight w:val="white"/>
        </w:rPr>
        <w:t xml:space="preserve">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</w:t>
      </w:r>
      <w:r>
        <w:rPr>
          <w:sz w:val="22"/>
          <w:szCs w:val="22"/>
          <w:highlight w:val="white"/>
        </w:rPr>
        <w:t xml:space="preserve">установленном Правительством Российской Федерации;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</w:t>
      </w:r>
      <w:r>
        <w:rPr>
          <w:sz w:val="22"/>
          <w:szCs w:val="22"/>
          <w:highlight w:val="white"/>
        </w:rPr>
        <w:t xml:space="preserve">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</w:t>
      </w:r>
      <w:r>
        <w:rPr>
          <w:sz w:val="22"/>
          <w:szCs w:val="22"/>
          <w:highlight w:val="white"/>
        </w:rPr>
        <w:t xml:space="preserve"> преступным путем, и финансированию терроризма».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В случае если впоследствии будет установлено, что покупатель государственного имущества Новосибирской области не имел законного права на его приобретение, сделка признается ничтожной.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Порядок ознакомления покупателей с иной информацией, условиями договора купли-продажи имущества </w:t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ind w:firstLine="709"/>
        <w:jc w:val="center"/>
        <w:tabs>
          <w:tab w:val="left" w:pos="284" w:leader="none"/>
        </w:tabs>
        <w:rPr>
          <w:b/>
          <w:bCs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  <w:r>
        <w:rPr>
          <w:b/>
          <w:bCs/>
          <w:sz w:val="22"/>
          <w:szCs w:val="22"/>
          <w:highlight w:val="white"/>
        </w:rPr>
      </w:r>
    </w:p>
    <w:p>
      <w:pPr>
        <w:pStyle w:val="892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bCs/>
          <w:sz w:val="22"/>
          <w:szCs w:val="22"/>
          <w:highlight w:val="white"/>
        </w:rPr>
        <w:t xml:space="preserve">Информационное сообщение о проведении аукциона </w:t>
      </w:r>
      <w:r>
        <w:rPr>
          <w:sz w:val="22"/>
          <w:szCs w:val="22"/>
          <w:highlight w:val="white"/>
        </w:rPr>
        <w:t xml:space="preserve">размещается на официальном сайте Российской Федерации для размещения информации о проведении торгов www.torgi.gov.ru, на сайте продавца – </w:t>
      </w:r>
      <w:r>
        <w:rPr>
          <w:sz w:val="22"/>
          <w:szCs w:val="22"/>
          <w:highlight w:val="white"/>
        </w:rPr>
        <w:t xml:space="preserve">Департамента имущества и земельных отношений Новосибирской области</w:t>
      </w:r>
      <w:r>
        <w:rPr>
          <w:sz w:val="22"/>
          <w:szCs w:val="22"/>
          <w:highlight w:val="white"/>
        </w:rPr>
        <w:t xml:space="preserve"> – </w:t>
      </w:r>
      <w:hyperlink r:id="rId15" w:tooltip="http://dizo.nso.ru" w:history="1">
        <w:r>
          <w:rPr>
            <w:rStyle w:val="876"/>
            <w:sz w:val="22"/>
            <w:szCs w:val="22"/>
            <w:highlight w:val="white"/>
          </w:rPr>
          <w:t xml:space="preserve">http://dizo.nso.ru</w:t>
        </w:r>
      </w:hyperlink>
      <w:r>
        <w:rPr>
          <w:sz w:val="22"/>
          <w:szCs w:val="22"/>
          <w:highlight w:val="white"/>
        </w:rPr>
        <w:t xml:space="preserve">, </w:t>
      </w:r>
      <w:r>
        <w:rPr>
          <w:sz w:val="22"/>
          <w:szCs w:val="22"/>
          <w:highlight w:val="white"/>
        </w:rPr>
        <w:t xml:space="preserve">на сайт</w:t>
      </w:r>
      <w:r>
        <w:rPr>
          <w:sz w:val="22"/>
          <w:szCs w:val="22"/>
          <w:highlight w:val="white"/>
        </w:rPr>
        <w:t xml:space="preserve">е</w:t>
      </w:r>
      <w:r>
        <w:rPr>
          <w:sz w:val="22"/>
          <w:szCs w:val="22"/>
          <w:highlight w:val="white"/>
        </w:rPr>
        <w:t xml:space="preserve"> Правительства Новосибирской области: https://www.nso.ru</w:t>
      </w:r>
      <w:r>
        <w:rPr>
          <w:sz w:val="22"/>
          <w:szCs w:val="22"/>
          <w:highlight w:val="white"/>
        </w:rPr>
        <w:t xml:space="preserve">,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на электронной площадке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«РТС-тендер</w:t>
      </w:r>
      <w:r>
        <w:rPr>
          <w:sz w:val="22"/>
          <w:szCs w:val="22"/>
          <w:highlight w:val="white"/>
        </w:rPr>
        <w:t xml:space="preserve">» </w:t>
      </w:r>
      <w:hyperlink r:id="rId16" w:tooltip="http://www.rts-tender.ru" w:history="1">
        <w:r>
          <w:rPr>
            <w:sz w:val="22"/>
            <w:szCs w:val="22"/>
            <w:highlight w:val="white"/>
          </w:rPr>
          <w:t xml:space="preserve">www.rts-tender.ru</w:t>
        </w:r>
      </w:hyperlink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запрос о разъяснении размещенной информации.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Такой запрос в режиме реального времени направляется в «личный кабинет» Продавца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рассмотрения при условии, что запрос поступил Продавцу не позднее 5 (пяти) рабочих дней до даты окончания подачи заявок.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92"/>
        <w:ind w:firstLine="709"/>
        <w:tabs>
          <w:tab w:val="left" w:pos="284" w:leader="none"/>
        </w:tabs>
        <w:rPr>
          <w:sz w:val="22"/>
          <w:szCs w:val="22"/>
          <w:highlight w:val="white"/>
        </w:rPr>
        <w:outlineLvl w:val="0"/>
      </w:pPr>
      <w:r>
        <w:rPr>
          <w:sz w:val="22"/>
          <w:szCs w:val="22"/>
          <w:highlight w:val="white"/>
        </w:rPr>
        <w:t xml:space="preserve">В течение 2 (двух) рабочих дней со дня поступления запроса Продавец предоставляет разъяснение с указанием предмета запроса, но без указания лица, от которого поступил запрос.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По истечении 2 (двух) рабочих дней со дня поступления запроса Продавец направляет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на электронный адрес Претендента ответ с указанием места, даты и времени выдачи документов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для ознакомления с информацией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об объекте.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</w:t>
      </w:r>
      <w:r>
        <w:rPr>
          <w:sz w:val="22"/>
          <w:szCs w:val="22"/>
          <w:highlight w:val="white"/>
        </w:rPr>
        <w:t xml:space="preserve">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>
        <w:rPr>
          <w:sz w:val="22"/>
          <w:szCs w:val="22"/>
          <w:highlight w:val="white"/>
          <w:lang w:val="en-US"/>
        </w:rPr>
        <w:t xml:space="preserve">boaal</w:t>
      </w:r>
      <w:r>
        <w:rPr>
          <w:sz w:val="22"/>
          <w:szCs w:val="22"/>
          <w:highlight w:val="white"/>
        </w:rPr>
        <w:t xml:space="preserve">@</w:t>
      </w:r>
      <w:r>
        <w:rPr>
          <w:sz w:val="22"/>
          <w:szCs w:val="22"/>
          <w:highlight w:val="white"/>
          <w:lang w:val="en-US"/>
        </w:rPr>
        <w:t xml:space="preserve">nso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  <w:lang w:val="en-US"/>
        </w:rPr>
        <w:t xml:space="preserve">ru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, не позднее чем за два рабочих дня до даты окончания срока подачи заявок на участие в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Документооборот между Претендентами, участниками торгов, Продавцом осуществляется через электронную площ</w:t>
      </w:r>
      <w:r>
        <w:rPr>
          <w:sz w:val="22"/>
          <w:szCs w:val="22"/>
          <w:highlight w:val="white"/>
        </w:rPr>
        <w:t xml:space="preserve">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Наличие электронной подписи уполномоченного (доверенног</w:t>
      </w:r>
      <w:r>
        <w:rPr>
          <w:sz w:val="22"/>
          <w:szCs w:val="22"/>
          <w:highlight w:val="white"/>
        </w:rPr>
        <w:t xml:space="preserve">о) лица означает, что документы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сведения, поданные в форме электронных документов, направлены от имени Претендента, участника </w:t>
      </w:r>
      <w:r>
        <w:rPr>
          <w:sz w:val="22"/>
          <w:szCs w:val="22"/>
          <w:highlight w:val="white"/>
        </w:rPr>
        <w:t xml:space="preserve">торгов, Продавца и отправитель несет</w:t>
      </w:r>
      <w:r>
        <w:rPr>
          <w:sz w:val="22"/>
          <w:szCs w:val="22"/>
          <w:highlight w:val="white"/>
        </w:rPr>
        <w:t xml:space="preserve"> ответственность за подлинность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и достоверность таких документов и сведений.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С формой заявки, условиями договора купли-продажи, а также с иными находящимися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в распоряжении Продавца документами сведениями об имуществе покупатели могут ознакомиться</w:t>
      </w:r>
      <w:r>
        <w:rPr>
          <w:sz w:val="22"/>
          <w:szCs w:val="22"/>
          <w:highlight w:val="white"/>
        </w:rPr>
        <w:br/>
      </w:r>
      <w:r>
        <w:rPr>
          <w:sz w:val="22"/>
          <w:szCs w:val="22"/>
          <w:highlight w:val="white"/>
        </w:rPr>
        <w:t xml:space="preserve">по адресу: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630011, Красный проспект, 18, каб. 220</w:t>
      </w:r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 xml:space="preserve">Телефоны: 8 (</w:t>
      </w:r>
      <w:r>
        <w:rPr>
          <w:sz w:val="22"/>
          <w:szCs w:val="22"/>
          <w:highlight w:val="white"/>
        </w:rPr>
        <w:t xml:space="preserve">383</w:t>
      </w:r>
      <w:r>
        <w:rPr>
          <w:sz w:val="22"/>
          <w:szCs w:val="22"/>
          <w:highlight w:val="white"/>
        </w:rPr>
        <w:t xml:space="preserve">) </w:t>
      </w:r>
      <w:r>
        <w:rPr>
          <w:sz w:val="22"/>
          <w:szCs w:val="22"/>
          <w:highlight w:val="white"/>
        </w:rPr>
        <w:t xml:space="preserve">238-60-50, </w:t>
      </w:r>
      <w:r>
        <w:rPr>
          <w:sz w:val="22"/>
          <w:szCs w:val="22"/>
          <w:highlight w:val="white"/>
        </w:rPr>
        <w:t xml:space="preserve">238-60-52</w:t>
      </w:r>
      <w:r>
        <w:rPr>
          <w:sz w:val="22"/>
          <w:szCs w:val="22"/>
          <w:highlight w:val="white"/>
        </w:rPr>
        <w:t xml:space="preserve">.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Адрес электронной почты: </w:t>
      </w:r>
      <w:r>
        <w:rPr>
          <w:sz w:val="22"/>
          <w:szCs w:val="22"/>
          <w:highlight w:val="white"/>
          <w:lang w:val="en-US"/>
        </w:rPr>
      </w:r>
      <w:hyperlink r:id="rId17" w:tooltip="http://boaal@nso.ru" w:history="1">
        <w:r>
          <w:rPr>
            <w:rStyle w:val="876"/>
            <w:sz w:val="22"/>
            <w:szCs w:val="22"/>
            <w:highlight w:val="white"/>
            <w:lang w:val="en-US"/>
          </w:rPr>
          <w:t xml:space="preserve">boaal</w:t>
        </w:r>
        <w:r>
          <w:rPr>
            <w:rStyle w:val="876"/>
            <w:sz w:val="22"/>
            <w:szCs w:val="22"/>
            <w:highlight w:val="white"/>
          </w:rPr>
          <w:t xml:space="preserve">@</w:t>
        </w:r>
        <w:r>
          <w:rPr>
            <w:rStyle w:val="876"/>
            <w:sz w:val="22"/>
            <w:szCs w:val="22"/>
            <w:highlight w:val="white"/>
            <w:lang w:val="en-US"/>
          </w:rPr>
          <w:t xml:space="preserve">nso</w:t>
        </w:r>
        <w:r>
          <w:rPr>
            <w:rStyle w:val="876"/>
            <w:sz w:val="22"/>
            <w:szCs w:val="22"/>
            <w:highlight w:val="white"/>
          </w:rPr>
          <w:t xml:space="preserve">.ru</w:t>
        </w:r>
        <w:r>
          <w:rPr>
            <w:rStyle w:val="876"/>
            <w:sz w:val="22"/>
            <w:szCs w:val="22"/>
            <w:highlight w:val="white"/>
          </w:rPr>
        </w:r>
        <w:r>
          <w:rPr>
            <w:rStyle w:val="876"/>
            <w:sz w:val="22"/>
            <w:szCs w:val="22"/>
            <w:highlight w:val="white"/>
          </w:rPr>
        </w:r>
        <w:r>
          <w:rPr>
            <w:rStyle w:val="876"/>
            <w:sz w:val="22"/>
            <w:szCs w:val="22"/>
            <w:highlight w:val="white"/>
          </w:rPr>
        </w:r>
      </w:hyperlink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pStyle w:val="872"/>
        <w:spacing w:before="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Проект договора купли-продажи имущества содержится в документации об аукционе.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Условия конкурса, формы и сроки их выполнения – отсутствуют.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spacing w:before="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</w:t>
      </w:r>
      <w:r>
        <w:rPr>
          <w:sz w:val="22"/>
          <w:szCs w:val="22"/>
        </w:rPr>
        <w:t xml:space="preserve">на сайт</w:t>
      </w:r>
      <w:r>
        <w:rPr>
          <w:sz w:val="22"/>
          <w:szCs w:val="22"/>
        </w:rPr>
        <w:t xml:space="preserve">е</w:t>
      </w:r>
      <w:r>
        <w:rPr>
          <w:sz w:val="22"/>
          <w:szCs w:val="22"/>
        </w:rPr>
        <w:t xml:space="preserve"> Правительства Новосибирской области: https://www.nso.ru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электронной торговой площадке ООО «РТС-тендер» </w:t>
      </w:r>
      <w:hyperlink r:id="rId18" w:tooltip="https://www.lot-online.ru/" w:history="1">
        <w:r>
          <w:rPr>
            <w:sz w:val="22"/>
            <w:szCs w:val="22"/>
          </w:rPr>
          <w:t xml:space="preserve">https:</w:t>
        </w:r>
        <w:r>
          <w:rPr>
            <w:sz w:val="22"/>
            <w:szCs w:val="22"/>
          </w:rPr>
          <w:t xml:space="preserve">//</w:t>
        </w:r>
        <w:r>
          <w:rPr>
            <w:sz w:val="22"/>
            <w:szCs w:val="22"/>
          </w:rPr>
          <w:t xml:space="preserve">www.rts-tender.ru</w:t>
        </w:r>
        <w:r>
          <w:rPr>
            <w:sz w:val="22"/>
            <w:szCs w:val="22"/>
          </w:rPr>
          <w:t xml:space="preserve">/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pacing w:before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fldSimple w:instr="PAGE \* MERGEFORMAT">
      <w:r>
        <w:rPr>
          <w:sz w:val="16"/>
          <w:szCs w:val="16"/>
        </w:rPr>
        <w:t xml:space="preserve">1</w:t>
      </w:r>
    </w:fldSimple>
    <w:r>
      <w:rPr>
        <w:sz w:val="16"/>
        <w:szCs w:val="16"/>
      </w:rPr>
    </w:r>
    <w:r>
      <w:rPr>
        <w:sz w:val="16"/>
        <w:szCs w:val="16"/>
      </w:rPr>
    </w:r>
    <w:r/>
  </w:p>
  <w:p>
    <w:pPr>
      <w:pStyle w:val="7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8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7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character" w:styleId="721">
    <w:name w:val="Footer Char"/>
    <w:basedOn w:val="869"/>
    <w:link w:val="888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8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9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9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8">
    <w:name w:val="Heading 1"/>
    <w:basedOn w:val="867"/>
    <w:next w:val="867"/>
    <w:link w:val="877"/>
    <w:uiPriority w:val="99"/>
    <w:qFormat/>
    <w:pPr>
      <w:keepLines/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стандарт1"/>
    <w:basedOn w:val="873"/>
    <w:pPr>
      <w:ind w:left="0" w:firstLine="709"/>
      <w:jc w:val="both"/>
      <w:spacing w:before="120"/>
    </w:pPr>
    <w:rPr>
      <w:sz w:val="28"/>
    </w:rPr>
  </w:style>
  <w:style w:type="paragraph" w:styleId="873">
    <w:name w:val="Normal Indent"/>
    <w:basedOn w:val="867"/>
    <w:uiPriority w:val="99"/>
    <w:semiHidden/>
    <w:unhideWhenUsed/>
    <w:pPr>
      <w:ind w:left="708"/>
    </w:pPr>
  </w:style>
  <w:style w:type="paragraph" w:styleId="874">
    <w:name w:val="Body Text Indent"/>
    <w:basedOn w:val="867"/>
    <w:link w:val="875"/>
    <w:uiPriority w:val="99"/>
    <w:pPr>
      <w:ind w:left="720" w:firstLine="131"/>
      <w:jc w:val="both"/>
      <w:spacing w:line="360" w:lineRule="auto"/>
    </w:pPr>
    <w:rPr>
      <w:sz w:val="24"/>
    </w:rPr>
  </w:style>
  <w:style w:type="character" w:styleId="875" w:customStyle="1">
    <w:name w:val="Основной текст с отступом Знак"/>
    <w:basedOn w:val="869"/>
    <w:link w:val="874"/>
    <w:uiPriority w:val="99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76">
    <w:name w:val="Hyperlink"/>
    <w:basedOn w:val="869"/>
    <w:uiPriority w:val="99"/>
    <w:unhideWhenUsed/>
    <w:rPr>
      <w:color w:val="0000ff"/>
      <w:u w:val="single"/>
    </w:rPr>
  </w:style>
  <w:style w:type="character" w:styleId="877" w:customStyle="1">
    <w:name w:val="Заголовок 1 Знак"/>
    <w:basedOn w:val="869"/>
    <w:link w:val="868"/>
    <w:uiPriority w:val="99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878">
    <w:name w:val="annotation reference"/>
    <w:basedOn w:val="869"/>
    <w:uiPriority w:val="99"/>
    <w:semiHidden/>
    <w:unhideWhenUsed/>
    <w:rPr>
      <w:sz w:val="16"/>
      <w:szCs w:val="16"/>
    </w:rPr>
  </w:style>
  <w:style w:type="paragraph" w:styleId="879">
    <w:name w:val="annotation text"/>
    <w:basedOn w:val="867"/>
    <w:link w:val="880"/>
    <w:uiPriority w:val="99"/>
    <w:semiHidden/>
    <w:unhideWhenUsed/>
  </w:style>
  <w:style w:type="character" w:styleId="880" w:customStyle="1">
    <w:name w:val="Текст примечания Знак"/>
    <w:basedOn w:val="869"/>
    <w:link w:val="87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1">
    <w:name w:val="annotation subject"/>
    <w:basedOn w:val="879"/>
    <w:next w:val="879"/>
    <w:link w:val="882"/>
    <w:uiPriority w:val="99"/>
    <w:semiHidden/>
    <w:unhideWhenUsed/>
    <w:rPr>
      <w:b/>
      <w:bCs/>
    </w:rPr>
  </w:style>
  <w:style w:type="character" w:styleId="882" w:customStyle="1">
    <w:name w:val="Тема примечания Знак"/>
    <w:basedOn w:val="880"/>
    <w:link w:val="88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3">
    <w:name w:val="Balloon Text"/>
    <w:basedOn w:val="867"/>
    <w:link w:val="88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basedOn w:val="869"/>
    <w:link w:val="88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5">
    <w:name w:val="Body Text"/>
    <w:basedOn w:val="867"/>
    <w:link w:val="886"/>
    <w:uiPriority w:val="99"/>
    <w:semiHidden/>
    <w:unhideWhenUsed/>
    <w:pPr>
      <w:spacing w:after="120"/>
    </w:pPr>
  </w:style>
  <w:style w:type="character" w:styleId="886" w:customStyle="1">
    <w:name w:val="Основной текст Знак"/>
    <w:basedOn w:val="869"/>
    <w:link w:val="88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7" w:customStyle="1">
    <w:name w:val="Вадькин нормальный"/>
    <w:basedOn w:val="867"/>
    <w:pPr>
      <w:jc w:val="both"/>
    </w:pPr>
  </w:style>
  <w:style w:type="paragraph" w:styleId="888">
    <w:name w:val="Footer"/>
    <w:basedOn w:val="867"/>
    <w:link w:val="889"/>
    <w:pPr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869"/>
    <w:link w:val="88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0">
    <w:name w:val="FollowedHyperlink"/>
    <w:basedOn w:val="869"/>
    <w:uiPriority w:val="99"/>
    <w:semiHidden/>
    <w:unhideWhenUsed/>
    <w:rPr>
      <w:color w:val="800080" w:themeColor="followedHyperlink"/>
      <w:u w:val="single"/>
    </w:rPr>
  </w:style>
  <w:style w:type="paragraph" w:styleId="891" w:customStyle="1">
    <w:name w:val="Body Text Indent 2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2" w:customStyle="1">
    <w:name w:val="Body Text Indent 3"/>
    <w:pPr>
      <w:contextualSpacing w:val="0"/>
      <w:ind w:left="0" w:right="0" w:firstLine="708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3" w:customStyle="1">
    <w:name w:val="Нижний колонтитул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4" Type="http://schemas.openxmlformats.org/officeDocument/2006/relationships/hyperlink" Target="https://www.lot-online.ru/" TargetMode="External"/><Relationship Id="rId15" Type="http://schemas.openxmlformats.org/officeDocument/2006/relationships/hyperlink" Target="http://dizo.nso.ru" TargetMode="External"/><Relationship Id="rId16" Type="http://schemas.openxmlformats.org/officeDocument/2006/relationships/hyperlink" Target="http://www.rts-tender.ru" TargetMode="External"/><Relationship Id="rId17" Type="http://schemas.openxmlformats.org/officeDocument/2006/relationships/hyperlink" Target="http://boaal@nso.ru" TargetMode="External"/><Relationship Id="rId18" Type="http://schemas.openxmlformats.org/officeDocument/2006/relationships/hyperlink" Target="https://www.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A011-8996-4942-9C04-549F5B4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revision>15</cp:revision>
  <dcterms:created xsi:type="dcterms:W3CDTF">2023-06-13T05:09:00Z</dcterms:created>
  <dcterms:modified xsi:type="dcterms:W3CDTF">2024-07-01T09:42:12Z</dcterms:modified>
</cp:coreProperties>
</file>