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зданий (строений, сооружений)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25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.10</w:t>
      </w:r>
      <w:r>
        <w:rPr>
          <w:rFonts w:ascii="Times New Roman" w:hAnsi="Times New Roman" w:cs="Times New Roman"/>
          <w:sz w:val="28"/>
          <w:szCs w:val="28"/>
        </w:rPr>
        <w:t xml:space="preserve">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2977"/>
        <w:gridCol w:w="1843"/>
        <w:gridCol w:w="4536"/>
        <w:gridCol w:w="1701"/>
        <w:gridCol w:w="1672"/>
      </w:tblGrid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54:32:010528:221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Бердск,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 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здание соответствует условиям, определенным  п. 4 ст. 378.2 Налогового Кодекса РФ, ч. 1 ст. 4.5 Закона Новосибирской области от 16.10.2003 </w:t>
              <w:br/>
              <w:t xml:space="preserve">№ 142-ОЗ «О налогах и особенностях налогообложения отдельных категорий налогоплательщиков в Новосибирской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54:32:010253:2478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Бердск,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 25а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здание соответствует условиям, определенным  п. 4 ст. 378.2 Налогового Кодекса РФ, ч. 1 ст. 4.5 Закона Новосибирской области от 16.10.2003 </w:t>
              <w:br/>
              <w:t xml:space="preserve">№ 142-ОЗ «О налогах и особенностях налогообложения отдельных категорий налогоплательщиков в Новосибирской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720" w:bottom="568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0"/>
    <w:link w:val="834"/>
    <w:uiPriority w:val="99"/>
  </w:style>
  <w:style w:type="character" w:styleId="683">
    <w:name w:val="Footer Char"/>
    <w:basedOn w:val="830"/>
    <w:link w:val="836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6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4">
    <w:name w:val="Header"/>
    <w:basedOn w:val="829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830"/>
    <w:link w:val="834"/>
    <w:uiPriority w:val="99"/>
  </w:style>
  <w:style w:type="paragraph" w:styleId="836">
    <w:name w:val="Footer"/>
    <w:basedOn w:val="829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830"/>
    <w:link w:val="83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8740-932F-468B-913B-AA4DD71E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4</cp:revision>
  <dcterms:created xsi:type="dcterms:W3CDTF">2024-08-25T14:09:00Z</dcterms:created>
  <dcterms:modified xsi:type="dcterms:W3CDTF">2024-11-08T07:53:18Z</dcterms:modified>
</cp:coreProperties>
</file>