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определению</w:t>
      </w:r>
      <w:r>
        <w:rPr>
          <w:rFonts w:ascii="Times New Roman" w:hAnsi="Times New Roman" w:cs="Times New Roman"/>
          <w:sz w:val="28"/>
          <w:szCs w:val="28"/>
        </w:rPr>
        <w:t xml:space="preserve"> вида фактического использования зданий (строений, сооружений) и помещений, в отношении которых налоговая база по </w:t>
      </w:r>
      <w:r>
        <w:rPr>
          <w:rFonts w:ascii="Times New Roman" w:hAnsi="Times New Roman" w:cs="Times New Roman"/>
          <w:sz w:val="28"/>
          <w:szCs w:val="28"/>
        </w:rPr>
        <w:t xml:space="preserve">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24.12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701"/>
        <w:gridCol w:w="5670"/>
        <w:gridCol w:w="2835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54:35:021195:59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Российская Федерация, Новосибирская область, городской округ город Новосибирск,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город Новосибирск,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магистраль Вокзальная, дом 16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.2024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br/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463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виды деятельности «офис»,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«общественное питание», «бытовые услуги» и «торгов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ый объект»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пп. 1, п. 1, п. 4.1 ст. 378.2 Налогового Кодекса РФ, пп. 1 п. 1 ст. 4.5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Закона Новосибирской области от 16.10.2003           № 142-ОЗ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.12.2024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43</cp:revision>
  <dcterms:created xsi:type="dcterms:W3CDTF">2019-04-29T03:31:00Z</dcterms:created>
  <dcterms:modified xsi:type="dcterms:W3CDTF">2024-12-24T08:36:16Z</dcterms:modified>
</cp:coreProperties>
</file>