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12.20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Ind w:w="-153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2388"/>
        <w:gridCol w:w="1701"/>
        <w:gridCol w:w="5670"/>
        <w:gridCol w:w="1276"/>
        <w:gridCol w:w="1721"/>
      </w:tblGrid>
      <w:tr>
        <w:tblPrEx/>
        <w:trPr>
          <w:trHeight w:val="1252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6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54:35:083155:226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Новосибирская область, </w:t>
              <w:br/>
              <w:t xml:space="preserve">г. Новосибирск, </w:t>
              <w:br/>
              <w:t xml:space="preserve">ул. Физкульурная, д. 20а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12.12.2024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№ 467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момент проведения мероприятий по определению фактического использования нежилого здания с кадастровым номером </w:t>
            </w:r>
            <w:sdt>
              <w:sdtPr>
                <w:alias w:val="введите кадастровый номер объекта недвижимости"/>
                <w15:appearance w15:val="boundingBox"/>
                <w15:color w:val="00ff00"/>
                <w:label w:val="0"/>
                <w:lock w:val="unlocked"/>
                <w:placeholder>
                  <w:docPart w:val="6789e5c8c371454c9820cda8d287620d"/>
                </w:placeholder>
                <w:tag w:val="введите кадастровый номер объекта недвижимости"/>
                <w:rPr>
                  <w:rFonts w:ascii="Times New Roman" w:hAnsi="Times New Roman" w:eastAsia="Times New Roman" w:cs="Times New Roman"/>
                  <w:vanish/>
                  <w:color w:val="558ed4" w:themeColor="text1"/>
                  <w:sz w:val="28"/>
                  <w:szCs w:val="28"/>
                  <w14:ligatures w14:val="none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r>
                <w:sdt>
                  <w:sdtPr>
                    <w:alias w:val="введите кадастровый номер объекта недвижимости"/>
                    <w15:appearance w15:val="boundingBox"/>
                    <w15:color w:val="00ff00"/>
                    <w:label w:val="0"/>
                    <w:lock w:val="unlocked"/>
                    <w:placeholder>
                      <w:docPart w:val="d8cc1ac9046c43c69ebaa820e93f9612"/>
                    </w:placeholder>
                    <w:tag w:val="введите кадастровый номер объекта недвижимости"/>
                    <w:rPr>
                      <w:rFonts w:ascii="Times New Roman" w:hAnsi="Times New Roman" w:eastAsia="Times New Roman" w:cs="Times New Roman"/>
                      <w:vanish/>
                      <w:color w:val="558ed4" w:themeColor="text1"/>
                      <w:sz w:val="28"/>
                      <w:szCs w:val="28"/>
                      <w14:ligatures w14:val="none"/>
                    </w:rPr>
                  </w:sdtPr>
                  <w:sdtContent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 xml:space="preserve">54:35:083155:226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r>
                  </w:sdtContent>
                </w:sdt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r>
              </w:sdtContent>
            </w:sdt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установлено, что общая площадь помещений,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используемых для видов деятельности «офис», «бытовое обслуживание», «общественное питание» составляет более 20%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58,41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%) общей площади объекта нежил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ого фонда – нежилого здания 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кадастровым номером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sdt>
              <w:sdtPr>
                <w:alias w:val="введите кадастровый номер объекта недвижимости"/>
                <w15:appearance w15:val="boundingBox"/>
                <w15:color w:val="00ff00"/>
                <w:label w:val="0"/>
                <w:lock w:val="unlocked"/>
                <w:placeholder>
                  <w:docPart w:val="bcf7e7ecd46d42149911233452bb1589"/>
                </w:placeholder>
                <w:tag w:val="введите кадастровый номер объекта недвижимости"/>
                <w:rPr>
                  <w:rFonts w:ascii="Times New Roman" w:hAnsi="Times New Roman" w:eastAsia="Times New Roman" w:cs="Times New Roman"/>
                  <w:color w:val="558ed4" w:themeColor="text1"/>
                  <w:sz w:val="28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color w:val="558ed4" w:themeColor="text1"/>
                    <w:sz w:val="28"/>
                    <w:szCs w:val="28"/>
                  </w:rPr>
                </w:r>
                <w:sdt>
                  <w:sdtPr>
                    <w:alias w:val="введите кадастровый номер объекта недвижимости"/>
                    <w15:appearance w15:val="boundingBox"/>
                    <w15:color w:val="00ff00"/>
                    <w:label w:val="0"/>
                    <w:lock w:val="unlocked"/>
                    <w:placeholder>
                      <w:docPart w:val="2a3fb428f727495ab79a5749a5425f40"/>
                    </w:placeholder>
                    <w:tag w:val="введите кадастровый номер объекта недвижимости"/>
                    <w:rPr>
                      <w:rFonts w:ascii="Times New Roman" w:hAnsi="Times New Roman" w:eastAsia="Times New Roman" w:cs="Times New Roman"/>
                      <w:color w:val="558ed4" w:themeColor="text1"/>
                    </w:rPr>
                  </w:sdtPr>
                  <w:sdtContent>
                    <w:r>
                      <w:rPr>
                        <w:rFonts w:ascii="Times New Roman" w:hAnsi="Times New Roman" w:eastAsia="Times New Roman" w:cs="Times New Roman"/>
                        <w:color w:val="558ed4" w:themeColor="text1"/>
                      </w:rPr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 xml:space="preserve">54:35:083155:226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r>
                    <w:r>
                      <w:rPr>
                        <w:rFonts w:ascii="Times New Roman" w:hAnsi="Times New Roman" w:eastAsia="Times New Roman" w:cs="Times New Roman"/>
                        <w:color w:val="558ed4" w:themeColor="text1"/>
                      </w:rPr>
                    </w:r>
                  </w:sdtContent>
                </w:sdt>
                <w:r>
                  <w:rPr>
                    <w:rFonts w:ascii="Times New Roman" w:hAnsi="Times New Roman" w:eastAsia="Times New Roman" w:cs="Times New Roman"/>
                    <w:color w:val="558ed4" w:themeColor="text1"/>
                    <w:sz w:val="28"/>
                    <w:szCs w:val="28"/>
                  </w:rPr>
                </w:r>
              </w:sdtContent>
            </w:sdt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общей площадью </w:t>
            </w:r>
            <w:sdt>
              <w:sdtPr>
                <w:alias w:val="введите площадь объекта недвижимости"/>
                <w15:appearance w15:val="boundingBox"/>
                <w15:color w:val="00ff00"/>
                <w:label w:val="0"/>
                <w:lock w:val="unlocked"/>
                <w:placeholder>
                  <w:docPart w:val="02e84f08c41a452a8b5ec447efabc495"/>
                </w:placeholder>
                <w:tag w:val="введите площадь объекта недвижимости"/>
                <w:rPr>
                  <w:rFonts w:ascii="Times New Roman" w:hAnsi="Times New Roman" w:eastAsia="Times New Roman" w:cs="Times New Roman"/>
                  <w:color w:val="558ed4" w:themeColor="text1"/>
                  <w:sz w:val="28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color w:val="558ed4" w:themeColor="text1"/>
                    <w:sz w:val="28"/>
                    <w:szCs w:val="28"/>
                  </w:rPr>
                </w:r>
                <w:sdt>
                  <w:sdtPr>
                    <w:alias w:val="введите площадь объекта недвижимости"/>
                    <w15:appearance w15:val="boundingBox"/>
                    <w15:color w:val="00ff00"/>
                    <w:label w:val="0"/>
                    <w:lock w:val="unlocked"/>
                    <w:placeholder>
                      <w:docPart w:val="c5ea17b10edd4fa3be8e714d2b045df8"/>
                    </w:placeholder>
                    <w:tag w:val="введите площадь объекта недвижимости"/>
                    <w:rPr>
                      <w:rFonts w:ascii="Times New Roman" w:hAnsi="Times New Roman" w:eastAsia="Times New Roman" w:cs="Times New Roman"/>
                      <w:color w:val="558ed4" w:themeColor="text1"/>
                    </w:rPr>
                  </w:sdtPr>
                  <w:sdtContent>
                    <w:r>
                      <w:rPr>
                        <w:rFonts w:ascii="Times New Roman" w:hAnsi="Times New Roman" w:eastAsia="Times New Roman" w:cs="Times New Roman"/>
                        <w:color w:val="558ed4" w:themeColor="text1"/>
                      </w:rPr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r>
                    <w:sdt>
                      <w:sdtPr>
                        <w:alias w:val="введите площадь объекта недвижимости"/>
                        <w15:appearance w15:val="boundingBox"/>
                        <w15:color w:val="00ff00"/>
                        <w:label w:val="0"/>
                        <w:lock w:val="unlocked"/>
                        <w:placeholder>
                          <w:docPart w:val="e62eefc6cb26495ba731596e03e49d34"/>
                        </w:placeholder>
                        <w:tag w:val="введите площадь объекта недвижимости"/>
                        <w:rPr>
                          <w:rFonts w:ascii="Times New Roman" w:hAnsi="Times New Roman" w:eastAsia="Times New Roman" w:cs="Times New Roman"/>
                          <w:color w:val="558ed4" w:themeColor="text1"/>
                          <w:sz w:val="28"/>
                        </w:rPr>
                      </w:sdtPr>
                      <w:sdtContent>
                        <w:r>
                          <w:rPr>
                            <w:rFonts w:ascii="Times New Roman" w:hAnsi="Times New Roman" w:eastAsia="Times New Roman" w:cs="Times New Roman"/>
                            <w:color w:val="558ed4" w:themeColor="text1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558ed4" w:themeColor="text1"/>
                            <w:sz w:val="28"/>
                            <w:szCs w:val="28"/>
                          </w:rPr>
                          <w:t xml:space="preserve">3663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558ed4" w:themeColor="text1"/>
                            <w:sz w:val="28"/>
                            <w:szCs w:val="28"/>
                          </w:rPr>
                        </w:r>
                      </w:sdtContent>
                    </w:sdt>
                    <w:r>
                      <w:rPr>
                        <w:rFonts w:ascii="Times New Roman" w:hAnsi="Times New Roman" w:eastAsia="Times New Roman" w:cs="Times New Roman"/>
                        <w:color w:val="558ed4" w:themeColor="text1"/>
                      </w:rPr>
                    </w:r>
                  </w:sdtContent>
                </w:sdt>
                <w:r>
                  <w:rPr>
                    <w:rFonts w:ascii="Times New Roman" w:hAnsi="Times New Roman" w:eastAsia="Times New Roman" w:cs="Times New Roman"/>
                    <w:color w:val="558ed4" w:themeColor="text1"/>
                    <w:sz w:val="28"/>
                    <w:szCs w:val="28"/>
                  </w:rPr>
                </w:r>
              </w:sdtContent>
            </w:sdt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м²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расположенного по адресу: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Новосибирская область, г. Новосибирск, </w:t>
              <w:br/>
              <w:t xml:space="preserve">ул Физкультурная, д. 20А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т.е. соответствует требованию </w:t>
              <w:br/>
              <w:t xml:space="preserve">п. 4.1 ст. 378.2 Налогового Кодекса РФ, п. 1 ч. 1 ст. 4.5 Закона Новосибирской области от 16.10.2003 № 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6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Жилой 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54:35:083010:61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Нежилые помещения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54:35:083010:84,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54:35:083010:85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Новосибирская область, г Новосибирск, ул. Героев Революции, д. 35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12.12.2024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№ 468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с кадастровым номером 54:35:083010:84 (2268 м2) фактически не используется в целях делового, административного или коммерческого назначения, размещения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соответствует требованиям п. 3 ст. 378.2 Налогового Кодекса РФ, п. 1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с кадастровым номером 54:35:083010:85 (784.6 м2) фактически используется в целях делового, административного или коммерческого назначения, размещения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Соответствует требованиям п. 3 ст. 378.2 Налогового Кодекса РФ, п. 1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6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54:35:081355:103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Нежилые помещения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54:35:081355:213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54:35:081355:188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54:35:081355:223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Новосибирская область, г. Новосибирск, ш. Бердское, д. 61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12.12.2024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№ 416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момент проведения мероприятий по установлению фактического использования нежилого здания с кадастровым номером 54:35:081355:103 установлено, что общая площадь помещений, используемых для видов деятельности «офис», «бытовое обслуживание», «общественное 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тание» составляет более 20% ‒ 56,40 % (41,99%) общей площади объекта нежилого фонда – нежилого здания с кадастровым номером 54:35:081355:103, общей площадью 7 096,6 м² (общей площадью нежилых помещений 9352 м2), расположенного по адресу: Новосибирская облас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ть, г. Новосибирск, ш. Бердское, д. 61, т.е. соответствует требованию п. 3 ст. 378.2 Налогового Кодекса РФ, п. 1 ч. 1 ст. 4.5 Закона Новосибирской области от 16.10.2003 № 142-ОЗ «О налогах и особенностях налогообложения отдельных категорий налогоплательщико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в Новосибирской области».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6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Жилой 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54:35:061650:33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Нежилые помещения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54:35:064160:1306, 54:35:064165:216, 54:35:064165:219, 54:35:064165:485, 54:35:064165:486, 54:35:064165:487, 54:35:064115:1109, 54:35:064160:1285, 54:35:064160:1295, 54:35:064160:1321, 54:35:064160:1336, 54:35:064160:1530, 54:35:064160:1532, 54:35:064160:15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33, 54:35:064160:1529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Новосибирская область, г. Новосибирск, ул. Станиславского, д. 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13.12.2024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№ 469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нежилых помещений общей площадь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1613,8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 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адастровыми номерами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54:35:064165:219 (87,2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54:35:064165:485 (43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54:35:064165:486 (66,2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54:35:064165:487 (42,8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54:35:064160:1295 (745,8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54:35:064160:1321 (133,2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54:35:064160:1336 (100,7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54:35:064160:1530 (202,9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54:35:064160:1532 (45,6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54:35:064160:1533 (4,4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54:35:064160:1529 (142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54:35:064115:1109 (225,4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none"/>
                <w:vertAlign w:val="baseli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</w:rPr>
              <w:t xml:space="preserve">актически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используются в целях делового, административного или коммерческого назначения, размещения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Соответствуют требованиям п. 3 ст. 378.2 Налогового Кодекса РФ, п. 1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 нежилых помещения общей площадью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1331,9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 с кадастровыми номерами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54:35:064160:1306 (570,5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none"/>
                <w:vertAlign w:val="baseline"/>
              </w:rPr>
              <w:t xml:space="preserve">),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54:35:064165:216 (314,2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none"/>
                <w:vertAlign w:val="baseli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highlight w:val="none"/>
                <w:vertAlign w:val="baseli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54:35:064160:1285 (221,8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highlight w:val="none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none"/>
                <w:vertAlign w:val="baseline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</w:rPr>
              <w:t xml:space="preserve">фактически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не используются в целях делового, административного или коммерческого назначения, размещения торговых объектов, объектов общественного питания и объектов бытового обслуживания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(у 2 помещений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54:35:064160:1306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54:35:064115:1109 отсутствует правообладатель, местонахождение не установлено; местонахождение помещения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54:35:064165:216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не установлено)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Не соответствуют требованиям п. 3 ст. 378.2 Налогового Кодекса РФ, п. 1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18.12.2024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6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Жилой дом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54:35:061650:39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Нежилые помещения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54:35:061650:203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54:35:061650:204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54:35:061650:205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54:35:061650:206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54:35:061650:207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54:35:061650:208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54:35:064150:2246,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54:35:064150:2236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vertAlign w:val="baseline"/>
              </w:rPr>
              <w:t xml:space="preserve">54:35:064150:2247,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54:35:064150:1678</w:t>
            </w:r>
            <w:r>
              <w:rPr>
                <w:rFonts w:ascii="Times New Roman" w:hAnsi="Times New Roman" w:eastAsia="Times New Roman" w:cs="Times New Roman"/>
                <w:vertAlign w:val="baseli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vertAlign w:val="baseline"/>
              </w:rPr>
              <w:t xml:space="preserve">54:35:064150:2247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Новосибирская область, г Новосибирск, ул Станиславского, д 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0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нежилых помещений общей площадью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2414,4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с кадастровыми номерами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54:35:061650:203 (111,2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54:35:061650:204 (103,3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54:35:061650:205 (106,4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54:35:061650:206 (110,5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54:35:061650:207 (113,8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54:35:061650:208 (86,2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54:35:064150:2246 (52,8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54:35:064150:2236 (106,5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54:35:064150:2247 (795,6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54:35:064150:1678 (32,5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54:35:064150:2247 (795,6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фактически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не используются в целях делового, административного или коммерческого назначения, размещения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Не соответствуют требованиям п. 3 ст. 378.2 Налогового Кодекса РФ, п. 1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нежилых помещени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я общей площадью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1026,1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с кадастровыми номерами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54:35:064150:2194 (461,7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54:35:064150:2195 (51,9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54:35:064150:2234 (41,5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54:35:064150:2235 (471,0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 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актически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используются в целях делового, административного или коммерческого назначения, размещения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Соответствуют требованиям п. 3 ст. 378.2 Налогового Кодекса РФ, п. 1 ч. 1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18.12.2024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6789e5c8c371454c9820cda8d2876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кадастровый номер</w:t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</w:p>
      </w:docPartBody>
    </w:docPart>
    <w:docPart>
      <w:docPartPr>
        <w:name w:val="d8cc1ac9046c43c69ebaa820e93f9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кадастровый номер</w:t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</w:p>
      </w:docPartBody>
    </w:docPart>
    <w:docPart>
      <w:docPartPr>
        <w:name w:val="bcf7e7ecd46d42149911233452bb1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кадастровый номер</w:t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</w:p>
      </w:docPartBody>
    </w:docPart>
    <w:docPart>
      <w:docPartPr>
        <w:name w:val="2a3fb428f727495ab79a5749a5425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кадастровый номер</w:t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</w:p>
      </w:docPartBody>
    </w:docPart>
    <w:docPart>
      <w:docPartPr>
        <w:name w:val="02e84f08c41a452a8b5ec447efabc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площадь</w:t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</w:p>
      </w:docPartBody>
    </w:docPart>
    <w:docPart>
      <w:docPartPr>
        <w:name w:val="c5ea17b10edd4fa3be8e714d2b045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площадь</w:t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</w:p>
      </w:docPartBody>
    </w:docPart>
    <w:docPart>
      <w:docPartPr>
        <w:name w:val="e62eefc6cb26495ba731596e03e49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площадь</w:t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47" w:default="1">
    <w:name w:val="Normal"/>
    <w:qFormat/>
  </w:style>
  <w:style w:type="character" w:styleId="248" w:default="1">
    <w:name w:val="Default Paragraph Font"/>
    <w:uiPriority w:val="1"/>
    <w:semiHidden/>
    <w:unhideWhenUsed/>
  </w:style>
  <w:style w:type="numbering" w:styleId="249" w:default="1">
    <w:name w:val="No List"/>
    <w:uiPriority w:val="99"/>
    <w:semiHidden/>
    <w:unhideWhenUsed/>
  </w:style>
  <w:style w:type="paragraph" w:styleId="250">
    <w:name w:val="Heading 1"/>
    <w:basedOn w:val="247"/>
    <w:next w:val="247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248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247"/>
    <w:next w:val="247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248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247"/>
    <w:next w:val="247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248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247"/>
    <w:next w:val="247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248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247"/>
    <w:next w:val="247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248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247"/>
    <w:next w:val="247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248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247"/>
    <w:next w:val="247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248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247"/>
    <w:next w:val="247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248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247"/>
    <w:next w:val="247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248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247"/>
    <w:uiPriority w:val="34"/>
    <w:qFormat/>
    <w:pPr>
      <w:contextualSpacing/>
      <w:ind w:left="720"/>
    </w:pPr>
  </w:style>
  <w:style w:type="table" w:styleId="2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247"/>
    <w:next w:val="247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248"/>
    <w:link w:val="271"/>
    <w:uiPriority w:val="10"/>
    <w:rPr>
      <w:sz w:val="48"/>
      <w:szCs w:val="48"/>
    </w:rPr>
  </w:style>
  <w:style w:type="paragraph" w:styleId="273">
    <w:name w:val="Subtitle"/>
    <w:basedOn w:val="247"/>
    <w:next w:val="247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248"/>
    <w:link w:val="273"/>
    <w:uiPriority w:val="11"/>
    <w:rPr>
      <w:sz w:val="24"/>
      <w:szCs w:val="24"/>
    </w:rPr>
  </w:style>
  <w:style w:type="paragraph" w:styleId="275">
    <w:name w:val="Quote"/>
    <w:basedOn w:val="247"/>
    <w:next w:val="247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247"/>
    <w:next w:val="247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247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248"/>
    <w:link w:val="279"/>
    <w:uiPriority w:val="99"/>
  </w:style>
  <w:style w:type="paragraph" w:styleId="281">
    <w:name w:val="Footer"/>
    <w:basedOn w:val="247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248"/>
    <w:link w:val="281"/>
    <w:uiPriority w:val="99"/>
  </w:style>
  <w:style w:type="paragraph" w:styleId="283">
    <w:name w:val="Caption"/>
    <w:basedOn w:val="247"/>
    <w:next w:val="2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2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85">
    <w:name w:val="List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86">
    <w:name w:val="List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87">
    <w:name w:val="List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88">
    <w:name w:val="List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89">
    <w:name w:val="List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90">
    <w:name w:val="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2">
    <w:name w:val="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93">
    <w:name w:val="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94">
    <w:name w:val="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95">
    <w:name w:val="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96">
    <w:name w:val="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97">
    <w:name w:val="Bordered &amp; 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9">
    <w:name w:val="Bordered &amp; 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00">
    <w:name w:val="Bordered &amp; 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01">
    <w:name w:val="Bordered &amp; 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02">
    <w:name w:val="Bordered &amp; 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03">
    <w:name w:val="Bordered &amp; 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04">
    <w:name w:val="Bordered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247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248"/>
    <w:uiPriority w:val="99"/>
    <w:unhideWhenUsed/>
    <w:rPr>
      <w:vertAlign w:val="superscript"/>
    </w:rPr>
  </w:style>
  <w:style w:type="paragraph" w:styleId="415">
    <w:name w:val="endnote text"/>
    <w:basedOn w:val="247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248"/>
    <w:uiPriority w:val="99"/>
    <w:semiHidden/>
    <w:unhideWhenUsed/>
    <w:rPr>
      <w:vertAlign w:val="superscript"/>
    </w:rPr>
  </w:style>
  <w:style w:type="paragraph" w:styleId="418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247"/>
    <w:next w:val="24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9</cp:revision>
  <dcterms:created xsi:type="dcterms:W3CDTF">2023-09-08T08:13:00Z</dcterms:created>
  <dcterms:modified xsi:type="dcterms:W3CDTF">2024-12-28T05:12:09Z</dcterms:modified>
</cp:coreProperties>
</file>