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61"/>
        <w:ind w:firstLine="709"/>
        <w:jc w:val="center"/>
        <w:rPr>
          <w:b/>
        </w:rPr>
      </w:pPr>
      <w:r>
        <w:rPr>
          <w:b/>
        </w:rPr>
        <w:t xml:space="preserve">Извещение </w:t>
      </w:r>
      <w:r>
        <w:rPr>
          <w:b/>
        </w:rPr>
      </w:r>
      <w:r>
        <w:rPr>
          <w:b/>
        </w:rPr>
      </w:r>
    </w:p>
    <w:p>
      <w:pPr>
        <w:pStyle w:val="661"/>
        <w:ind w:firstLine="709"/>
        <w:jc w:val="center"/>
        <w:rPr>
          <w:b/>
        </w:rPr>
      </w:pPr>
      <w:r>
        <w:rPr>
          <w:b/>
        </w:rPr>
      </w:r>
      <w:r>
        <w:rPr>
          <w:b/>
        </w:rPr>
      </w:r>
    </w:p>
    <w:p>
      <w:pPr>
        <w:pStyle w:val="661"/>
        <w:jc w:val="center"/>
        <w:rPr>
          <w:b/>
        </w:rPr>
      </w:pPr>
      <w:r>
        <w:rPr>
          <w:b/>
        </w:rPr>
        <w:t xml:space="preserve">департамента имущества и земельных отношений Новосибирской области о возможности предоставления земельных участков в соответствии со ст.39.18 Земельного кодекса Российской Федерации</w:t>
      </w:r>
      <w:r>
        <w:rPr>
          <w:b/>
        </w:rPr>
      </w:r>
    </w:p>
    <w:p>
      <w:pPr>
        <w:pStyle w:val="661"/>
        <w:ind w:firstLine="709"/>
        <w:jc w:val="both"/>
      </w:pPr>
      <w:r/>
      <w:r/>
    </w:p>
    <w:p>
      <w:pPr>
        <w:pStyle w:val="661"/>
        <w:ind w:firstLine="709"/>
        <w:jc w:val="both"/>
      </w:pPr>
      <w:r>
        <w:t xml:space="preserve">В соответствии со ст.39.18 Земельного кодекса Российской Федерации департамент имущества и земельных отношений Новосибирской области извещает о </w:t>
      </w:r>
      <w:r>
        <w:t xml:space="preserve">возможном предоставлении в </w:t>
      </w:r>
      <w:r>
        <w:t xml:space="preserve">аренду</w:t>
      </w:r>
      <w:r>
        <w:t xml:space="preserve"> земельн</w:t>
      </w:r>
      <w:r>
        <w:t xml:space="preserve">ого</w:t>
      </w:r>
      <w:r>
        <w:t xml:space="preserve"> участк</w:t>
      </w:r>
      <w:r>
        <w:t xml:space="preserve">а</w:t>
      </w:r>
      <w:r>
        <w:t xml:space="preserve"> </w:t>
      </w:r>
      <w:r>
        <w:t xml:space="preserve">площадью </w:t>
      </w:r>
      <w:r>
        <w:t xml:space="preserve">13</w:t>
      </w:r>
      <w:r>
        <w:t xml:space="preserve">58</w:t>
      </w:r>
      <w:r>
        <w:t xml:space="preserve"> кв.м</w:t>
      </w:r>
      <w:r>
        <w:t xml:space="preserve">, </w:t>
      </w:r>
      <w:r>
        <w:t xml:space="preserve">местоположение: Новосибирска</w:t>
      </w:r>
      <w:r>
        <w:t xml:space="preserve">я область, Новосибирский район, </w:t>
      </w:r>
      <w:r>
        <w:t xml:space="preserve">Толмачевский</w:t>
      </w:r>
      <w:r>
        <w:t xml:space="preserve"> сельсовет</w:t>
      </w:r>
      <w:r>
        <w:t xml:space="preserve">,</w:t>
      </w:r>
      <w:r>
        <w:t xml:space="preserve"> </w:t>
      </w:r>
      <w:r>
        <w:t xml:space="preserve">п</w:t>
      </w:r>
      <w:r>
        <w:t xml:space="preserve">. </w:t>
      </w:r>
      <w:r>
        <w:t xml:space="preserve">Новоозерный</w:t>
      </w:r>
      <w:r>
        <w:t xml:space="preserve">,</w:t>
      </w:r>
      <w:r>
        <w:t xml:space="preserve"> цель предоставления: </w:t>
      </w:r>
      <w:r>
        <w:t xml:space="preserve">для ведения личного подсобного хозяйства (приусадебный земельный участок) (2.2</w:t>
      </w:r>
      <w:r>
        <w:t xml:space="preserve">)</w:t>
      </w:r>
      <w:r>
        <w:t xml:space="preserve">.</w:t>
      </w:r>
      <w:r/>
    </w:p>
    <w:p>
      <w:pPr>
        <w:pStyle w:val="661"/>
        <w:ind w:firstLine="709"/>
        <w:jc w:val="both"/>
      </w:pPr>
      <w:r>
        <w:t xml:space="preserve">Граждане, заинтересованные в предоставлении земельн</w:t>
      </w:r>
      <w:r>
        <w:t xml:space="preserve">ого</w:t>
      </w:r>
      <w:r>
        <w:t xml:space="preserve"> участк</w:t>
      </w:r>
      <w:r>
        <w:t xml:space="preserve">а</w:t>
      </w:r>
      <w:r>
        <w:t xml:space="preserve"> для указанной цели, в течение</w:t>
      </w:r>
      <w:r>
        <w:t xml:space="preserve"> тридцати дней со дня опубликования и размещения настоящего извещения вправе подавать заявления о намерении участвовать в аукционе </w:t>
      </w:r>
      <w:r>
        <w:t xml:space="preserve">на право заключения договора аренды</w:t>
      </w:r>
      <w:r>
        <w:t xml:space="preserve"> земельного участка.</w:t>
      </w:r>
      <w:r/>
    </w:p>
    <w:p>
      <w:pPr>
        <w:pStyle w:val="661"/>
        <w:ind w:firstLine="709"/>
        <w:jc w:val="both"/>
      </w:pPr>
      <w:r>
        <w:t xml:space="preserve">Заявления могут быть поданы:</w:t>
      </w:r>
      <w:r/>
    </w:p>
    <w:p>
      <w:pPr>
        <w:pStyle w:val="661"/>
        <w:numPr>
          <w:ilvl w:val="0"/>
          <w:numId w:val="4"/>
        </w:numPr>
        <w:jc w:val="both"/>
      </w:pPr>
      <w:r>
        <w:t xml:space="preserve">в</w:t>
      </w:r>
      <w:r>
        <w:t xml:space="preserve"> письменной форме на бумажном носителе путем направления по почте либо лично или через своих уполномоченных представителей;</w:t>
      </w:r>
      <w:r/>
    </w:p>
    <w:p>
      <w:pPr>
        <w:pStyle w:val="661"/>
        <w:numPr>
          <w:ilvl w:val="0"/>
          <w:numId w:val="4"/>
        </w:numPr>
        <w:jc w:val="both"/>
      </w:pPr>
      <w:r>
        <w:t xml:space="preserve">в</w:t>
      </w:r>
      <w:r>
        <w:t xml:space="preserve"> форме электронного документа (при наличии электронной подписи).</w:t>
      </w:r>
      <w:r/>
    </w:p>
    <w:p>
      <w:pPr>
        <w:pStyle w:val="661"/>
        <w:ind w:firstLine="709"/>
        <w:jc w:val="both"/>
      </w:pPr>
      <w:r>
        <w:t xml:space="preserve">Почтовый адрес и адрес для приема за</w:t>
      </w:r>
      <w:r>
        <w:t xml:space="preserve">явлений в письменной форме: 630007, г. Новосибирск, Красный проспект, 18, каб.117, департамент имущества и земельных отношений Новосибирской области. Время приема заявлений: Пн-Чт с 10:00 до 16:00, Пт с 10:00 до 15:00, обед с 12:30-13:30, Сб-Вс – выходной.</w:t>
      </w:r>
      <w:r/>
    </w:p>
    <w:p>
      <w:pPr>
        <w:pStyle w:val="661"/>
        <w:ind w:firstLine="709"/>
        <w:jc w:val="both"/>
      </w:pPr>
      <w:r>
        <w:t xml:space="preserve">Электронный адрес для приема заявлений в форме электронного документа: </w:t>
      </w:r>
      <w:r>
        <w:rPr>
          <w:lang w:val="en-US"/>
        </w:rPr>
        <w:fldChar w:fldCharType="begin"/>
      </w:r>
      <w:r>
        <w:instrText xml:space="preserve"> </w:instrText>
      </w:r>
      <w:r>
        <w:rPr>
          <w:lang w:val="en-US"/>
        </w:rPr>
        <w:instrText xml:space="preserve">HYPERLINK</w:instrText>
      </w:r>
      <w:r>
        <w:instrText xml:space="preserve"> "</w:instrText>
      </w:r>
      <w:r>
        <w:rPr>
          <w:lang w:val="en-US"/>
        </w:rPr>
        <w:instrText xml:space="preserve">mailto</w:instrText>
      </w:r>
      <w:r>
        <w:instrText xml:space="preserve">:</w:instrText>
      </w:r>
      <w:r>
        <w:rPr>
          <w:lang w:val="en-US"/>
        </w:rPr>
        <w:instrText xml:space="preserve">dgi</w:instrText>
      </w:r>
      <w:r>
        <w:instrText xml:space="preserve">@</w:instrText>
      </w:r>
      <w:r>
        <w:rPr>
          <w:lang w:val="en-US"/>
        </w:rPr>
        <w:instrText xml:space="preserve">nso</w:instrText>
      </w:r>
      <w:r>
        <w:instrText xml:space="preserve">.</w:instrText>
      </w:r>
      <w:r>
        <w:rPr>
          <w:lang w:val="en-US"/>
        </w:rPr>
        <w:instrText xml:space="preserve">ru</w:instrText>
      </w:r>
      <w:r>
        <w:instrText xml:space="preserve">" </w:instrText>
      </w:r>
      <w:r>
        <w:rPr>
          <w:lang w:val="en-US"/>
        </w:rPr>
        <w:fldChar w:fldCharType="separate"/>
      </w:r>
      <w:r>
        <w:rPr>
          <w:rStyle w:val="669"/>
          <w:lang w:val="en-US"/>
        </w:rPr>
        <w:t xml:space="preserve">dgi</w:t>
      </w:r>
      <w:r>
        <w:rPr>
          <w:rStyle w:val="669"/>
        </w:rPr>
        <w:t xml:space="preserve">@</w:t>
      </w:r>
      <w:r>
        <w:rPr>
          <w:rStyle w:val="669"/>
          <w:lang w:val="en-US"/>
        </w:rPr>
        <w:t xml:space="preserve">nso</w:t>
      </w:r>
      <w:r>
        <w:rPr>
          <w:rStyle w:val="669"/>
        </w:rPr>
        <w:t xml:space="preserve">.</w:t>
      </w:r>
      <w:r>
        <w:rPr>
          <w:rStyle w:val="669"/>
          <w:lang w:val="en-US"/>
        </w:rPr>
        <w:t xml:space="preserve">ru</w:t>
      </w:r>
      <w:r>
        <w:rPr>
          <w:lang w:val="en-US"/>
        </w:rPr>
        <w:fldChar w:fldCharType="end"/>
      </w:r>
      <w:r>
        <w:t xml:space="preserve">. </w:t>
      </w:r>
      <w:r/>
    </w:p>
    <w:p>
      <w:pPr>
        <w:pStyle w:val="661"/>
        <w:ind w:firstLine="709"/>
        <w:jc w:val="both"/>
      </w:pPr>
      <w:r>
        <w:t xml:space="preserve">Дата окончания приема заявлений: по истечении тридцати дней со дня опубликования и размещения извещения.</w:t>
      </w:r>
      <w:r/>
    </w:p>
    <w:p>
      <w:pPr>
        <w:pStyle w:val="661"/>
        <w:ind w:firstLine="709"/>
        <w:jc w:val="both"/>
      </w:pPr>
      <w:r>
        <w:t xml:space="preserve">Ознакомиться со </w:t>
      </w:r>
      <w:r>
        <w:t xml:space="preserve">схем</w:t>
      </w:r>
      <w:r>
        <w:t xml:space="preserve">ой</w:t>
      </w:r>
      <w:r>
        <w:t xml:space="preserve"> расположения</w:t>
      </w:r>
      <w:r>
        <w:t xml:space="preserve"> земельн</w:t>
      </w:r>
      <w:r>
        <w:t xml:space="preserve">ого</w:t>
      </w:r>
      <w:r>
        <w:t xml:space="preserve"> участк</w:t>
      </w:r>
      <w:r>
        <w:t xml:space="preserve">а</w:t>
      </w:r>
      <w:r>
        <w:t xml:space="preserve"> </w:t>
      </w:r>
      <w:r>
        <w:t xml:space="preserve">можно</w:t>
      </w:r>
      <w:r>
        <w:t xml:space="preserve"> в электронном виде на сайте </w:t>
      </w:r>
      <w:r>
        <w:t xml:space="preserve">департамента</w:t>
      </w:r>
      <w:r>
        <w:t xml:space="preserve"> имущества и земельных отношений Новосибирской области</w:t>
      </w:r>
      <w:r>
        <w:t xml:space="preserve"> (</w:t>
      </w:r>
      <w:r>
        <w:rPr>
          <w:lang w:val="en-US"/>
        </w:rPr>
        <w:t xml:space="preserve">www</w:t>
      </w:r>
      <w:r>
        <w:t xml:space="preserve">.</w:t>
      </w:r>
      <w:r>
        <w:rPr>
          <w:lang w:val="en-US"/>
        </w:rPr>
        <w:t xml:space="preserve">dizo</w:t>
      </w:r>
      <w:r>
        <w:t xml:space="preserve">.</w:t>
      </w:r>
      <w:r>
        <w:rPr>
          <w:lang w:val="en-US"/>
        </w:rPr>
        <w:t xml:space="preserve">nso</w:t>
      </w:r>
      <w:r>
        <w:t xml:space="preserve">.</w:t>
      </w:r>
      <w:r>
        <w:rPr>
          <w:lang w:val="en-US"/>
        </w:rPr>
        <w:t xml:space="preserve">ru</w:t>
      </w:r>
      <w:r>
        <w:t xml:space="preserve"> в разделе Предоставление земельных участков во вкладке Извещения о возможности предоставления земельных участков для ИЖС, </w:t>
      </w:r>
      <w:r>
        <w:t xml:space="preserve">ведения личного подсобного хозяйства в границах населенного пункта, садоводства для собственных нужд</w:t>
      </w:r>
      <w:r>
        <w:t xml:space="preserve">), либо по </w:t>
      </w:r>
      <w:r>
        <w:t xml:space="preserve">адресу: 630007, г. Новосибирск, Красный проспект, 18, каб.1</w:t>
      </w:r>
      <w:r>
        <w:t xml:space="preserve">27</w:t>
      </w:r>
      <w:r>
        <w:t xml:space="preserve">, департамент имущества и земельных отношений Новосибирской области. Время приема: </w:t>
      </w:r>
      <w:r>
        <w:t xml:space="preserve">Пн-Чт с 10:00 до 16:00, Пт с 10:00 до 15:00, обед с 12:30-13:30</w:t>
      </w:r>
      <w:r>
        <w:t xml:space="preserve">, Сб-Вс – выходной, контактный телефон: 238-60-71.</w:t>
      </w:r>
      <w:r/>
      <w:r/>
    </w:p>
    <w:p>
      <w:pPr>
        <w:pStyle w:val="661"/>
        <w:rPr>
          <w:i/>
        </w:rPr>
      </w:pPr>
      <w:r>
        <w:rPr>
          <w:i/>
        </w:rPr>
      </w:r>
      <w:r>
        <w:rPr>
          <w:i/>
        </w:rPr>
      </w:r>
      <w:r>
        <w:rPr>
          <w:i/>
        </w:rPr>
      </w:r>
    </w:p>
    <w:p>
      <w:pPr>
        <w:pStyle w:val="661"/>
        <w:rPr>
          <w:i/>
        </w:rPr>
      </w:pPr>
      <w:r>
        <w:rPr>
          <w:i/>
        </w:rPr>
      </w:r>
    </w:p>
    <w:sectPr>
      <w:headerReference w:type="default" r:id="rId9"/>
      <w:headerReference w:type="even" r:id="rId10"/>
      <w:footnotePr/>
      <w:endnotePr/>
      <w:type w:val="nextPage"/>
      <w:pgSz w:w="11906" w:h="16838" w:orient="portrait"/>
      <w:pgMar w:top="1134" w:right="567" w:bottom="284" w:left="1418" w:header="709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</w:font>
  <w:font w:name="Times New Roman">
    <w:panose1 w:val="02020603050405020304"/>
  </w:font>
  <w:font w:name="Tahoma">
    <w:panose1 w:val="020B0604030504040204"/>
  </w:font>
  <w:font w:name="Courier New">
    <w:panose1 w:val="02070309020205020404"/>
  </w:font>
  <w:font w:name="Arial">
    <w:panose1 w:val="020B0604020202020204"/>
  </w:font>
  <w:font w:name="Calibri">
    <w:panose1 w:val="020F0502020204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70"/>
      <w:jc w:val="center"/>
      <w:rPr>
        <w:sz w:val="20"/>
        <w:szCs w:val="20"/>
      </w:rPr>
    </w:pP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  \* MERGEFORMAT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 xml:space="preserve">2</w:t>
    </w:r>
    <w:r>
      <w:rPr>
        <w:sz w:val="20"/>
        <w:szCs w:val="20"/>
      </w:rPr>
      <w:fldChar w:fldCharType="end"/>
    </w:r>
    <w:r>
      <w:rPr>
        <w:sz w:val="20"/>
        <w:szCs w:val="20"/>
      </w:rPr>
    </w:r>
    <w:r>
      <w:rPr>
        <w:sz w:val="20"/>
        <w:szCs w:val="20"/>
      </w:rPr>
    </w:r>
  </w:p>
  <w:p>
    <w:pPr>
      <w:pStyle w:val="670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7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t xml:space="preserve">2</w:t>
    </w:r>
    <w:r>
      <w:fldChar w:fldCharType="end"/>
    </w:r>
    <w:r/>
  </w:p>
  <w:p>
    <w:pPr>
      <w:pStyle w:val="670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94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114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34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54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74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94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714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34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54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54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74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94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914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34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54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74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94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514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54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74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94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914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34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54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74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94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514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61"/>
    <w:next w:val="661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61"/>
    <w:next w:val="661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61"/>
    <w:next w:val="661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61"/>
    <w:next w:val="661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61"/>
    <w:next w:val="661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61"/>
    <w:next w:val="661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61"/>
    <w:next w:val="661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61"/>
    <w:next w:val="661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61"/>
    <w:next w:val="661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61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61"/>
    <w:next w:val="661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61"/>
    <w:next w:val="661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61"/>
    <w:next w:val="661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61"/>
    <w:next w:val="661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61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61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61"/>
    <w:next w:val="66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61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61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61"/>
    <w:next w:val="661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61"/>
    <w:next w:val="661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61"/>
    <w:next w:val="661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61"/>
    <w:next w:val="661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61"/>
    <w:next w:val="661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61"/>
    <w:next w:val="661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61"/>
    <w:next w:val="661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61"/>
    <w:next w:val="661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61"/>
    <w:next w:val="661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61"/>
    <w:next w:val="661"/>
    <w:uiPriority w:val="99"/>
    <w:unhideWhenUsed/>
    <w:pPr>
      <w:spacing w:after="0" w:afterAutospacing="0"/>
    </w:pPr>
  </w:style>
  <w:style w:type="paragraph" w:styleId="661" w:default="1">
    <w:name w:val="Normal"/>
    <w:next w:val="661"/>
    <w:link w:val="661"/>
    <w:qFormat/>
    <w:rPr>
      <w:rFonts w:cs="Courier New"/>
      <w:sz w:val="28"/>
      <w:szCs w:val="28"/>
      <w:lang w:val="ru-RU" w:eastAsia="ru-RU" w:bidi="ar-SA"/>
    </w:rPr>
  </w:style>
  <w:style w:type="paragraph" w:styleId="662">
    <w:name w:val="Заголовок 1"/>
    <w:basedOn w:val="661"/>
    <w:next w:val="661"/>
    <w:link w:val="661"/>
    <w:qFormat/>
    <w:pPr>
      <w:jc w:val="center"/>
      <w:keepNext/>
      <w:outlineLvl w:val="0"/>
    </w:pPr>
    <w:rPr>
      <w:rFonts w:ascii="Arial" w:hAnsi="Arial" w:cs="Arial"/>
      <w:b/>
      <w:bCs/>
      <w:sz w:val="24"/>
      <w:szCs w:val="24"/>
    </w:rPr>
  </w:style>
  <w:style w:type="character" w:styleId="663">
    <w:name w:val="Основной шрифт абзаца"/>
    <w:next w:val="663"/>
    <w:link w:val="661"/>
    <w:uiPriority w:val="1"/>
    <w:unhideWhenUsed/>
  </w:style>
  <w:style w:type="table" w:styleId="664">
    <w:name w:val="Обычная таблица"/>
    <w:next w:val="664"/>
    <w:link w:val="661"/>
    <w:uiPriority w:val="99"/>
    <w:unhideWhenUsed/>
    <w:qFormat/>
    <w:tblPr/>
  </w:style>
  <w:style w:type="numbering" w:styleId="665">
    <w:name w:val="Нет списка"/>
    <w:next w:val="665"/>
    <w:link w:val="661"/>
    <w:uiPriority w:val="99"/>
    <w:semiHidden/>
    <w:unhideWhenUsed/>
  </w:style>
  <w:style w:type="paragraph" w:styleId="666">
    <w:name w:val="ConsPlusNormal"/>
    <w:next w:val="666"/>
    <w:link w:val="661"/>
    <w:pPr>
      <w:ind w:firstLine="720"/>
    </w:pPr>
    <w:rPr>
      <w:rFonts w:ascii="Arial" w:hAnsi="Arial" w:cs="Arial"/>
      <w:lang w:val="ru-RU" w:eastAsia="ru-RU" w:bidi="ar-SA"/>
    </w:rPr>
  </w:style>
  <w:style w:type="paragraph" w:styleId="667">
    <w:name w:val="Текст выноски"/>
    <w:basedOn w:val="661"/>
    <w:next w:val="667"/>
    <w:link w:val="661"/>
    <w:semiHidden/>
    <w:rPr>
      <w:rFonts w:ascii="Tahoma" w:hAnsi="Tahoma" w:cs="Tahoma"/>
      <w:sz w:val="16"/>
      <w:szCs w:val="16"/>
    </w:rPr>
  </w:style>
  <w:style w:type="character" w:styleId="668">
    <w:name w:val="Гипертекстовая ссылка"/>
    <w:next w:val="668"/>
    <w:link w:val="661"/>
    <w:rPr>
      <w:color w:val="008000"/>
    </w:rPr>
  </w:style>
  <w:style w:type="character" w:styleId="669">
    <w:name w:val="Гиперссылка"/>
    <w:next w:val="669"/>
    <w:link w:val="661"/>
    <w:rPr>
      <w:color w:val="0000ff"/>
      <w:u w:val="single"/>
    </w:rPr>
  </w:style>
  <w:style w:type="paragraph" w:styleId="670">
    <w:name w:val="Верхний колонтитул"/>
    <w:basedOn w:val="661"/>
    <w:next w:val="670"/>
    <w:link w:val="671"/>
    <w:uiPriority w:val="99"/>
    <w:unhideWhenUsed/>
    <w:pPr>
      <w:tabs>
        <w:tab w:val="center" w:pos="4677" w:leader="none"/>
        <w:tab w:val="right" w:pos="9355" w:leader="none"/>
      </w:tabs>
    </w:pPr>
    <w:rPr>
      <w:rFonts w:cs="Times New Roman"/>
      <w:lang w:val="en-US" w:eastAsia="en-US"/>
    </w:rPr>
  </w:style>
  <w:style w:type="character" w:styleId="671">
    <w:name w:val="Верхний колонтитул Знак"/>
    <w:next w:val="671"/>
    <w:link w:val="670"/>
    <w:uiPriority w:val="99"/>
    <w:rPr>
      <w:rFonts w:cs="Courier New"/>
      <w:sz w:val="28"/>
      <w:szCs w:val="28"/>
    </w:rPr>
  </w:style>
  <w:style w:type="paragraph" w:styleId="672">
    <w:name w:val="Нижний колонтитул"/>
    <w:basedOn w:val="661"/>
    <w:next w:val="672"/>
    <w:link w:val="673"/>
    <w:uiPriority w:val="99"/>
    <w:unhideWhenUsed/>
    <w:pPr>
      <w:tabs>
        <w:tab w:val="center" w:pos="4677" w:leader="none"/>
        <w:tab w:val="right" w:pos="9355" w:leader="none"/>
      </w:tabs>
    </w:pPr>
    <w:rPr>
      <w:rFonts w:cs="Times New Roman"/>
      <w:lang w:val="en-US" w:eastAsia="en-US"/>
    </w:rPr>
  </w:style>
  <w:style w:type="character" w:styleId="673">
    <w:name w:val="Нижний колонтитул Знак"/>
    <w:next w:val="673"/>
    <w:link w:val="672"/>
    <w:uiPriority w:val="99"/>
    <w:rPr>
      <w:rFonts w:cs="Courier New"/>
      <w:sz w:val="28"/>
      <w:szCs w:val="28"/>
    </w:rPr>
  </w:style>
  <w:style w:type="table" w:styleId="674">
    <w:name w:val="Сетка таблицы"/>
    <w:basedOn w:val="664"/>
    <w:next w:val="674"/>
    <w:link w:val="661"/>
    <w:uiPriority w:val="59"/>
    <w:tblPr/>
  </w:style>
  <w:style w:type="paragraph" w:styleId="675">
    <w:name w:val="Основной текст 2"/>
    <w:basedOn w:val="661"/>
    <w:next w:val="675"/>
    <w:link w:val="676"/>
    <w:pPr>
      <w:jc w:val="both"/>
      <w:widowControl w:val="off"/>
    </w:pPr>
    <w:rPr>
      <w:rFonts w:cs="Times New Roman"/>
      <w:szCs w:val="20"/>
      <w:lang w:val="en-US" w:eastAsia="en-US"/>
    </w:rPr>
  </w:style>
  <w:style w:type="character" w:styleId="676">
    <w:name w:val="Основной текст 2 Знак"/>
    <w:next w:val="676"/>
    <w:link w:val="675"/>
    <w:rPr>
      <w:sz w:val="28"/>
    </w:rPr>
  </w:style>
  <w:style w:type="character" w:styleId="677">
    <w:name w:val="Строгий"/>
    <w:next w:val="677"/>
    <w:link w:val="661"/>
    <w:uiPriority w:val="22"/>
    <w:qFormat/>
    <w:rPr>
      <w:b/>
      <w:bCs/>
    </w:rPr>
  </w:style>
  <w:style w:type="table" w:styleId="678">
    <w:name w:val="Светлая заливка"/>
    <w:basedOn w:val="664"/>
    <w:next w:val="678"/>
    <w:link w:val="661"/>
    <w:uiPriority w:val="60"/>
    <w:rPr>
      <w:color w:val="000000"/>
    </w:rPr>
    <w:tblPr/>
  </w:style>
  <w:style w:type="table" w:styleId="679">
    <w:name w:val="Светлая заливка - Акцент 1"/>
    <w:basedOn w:val="664"/>
    <w:next w:val="679"/>
    <w:link w:val="661"/>
    <w:uiPriority w:val="60"/>
    <w:rPr>
      <w:color w:val="365f91"/>
    </w:rPr>
    <w:tblPr/>
  </w:style>
  <w:style w:type="table" w:styleId="680">
    <w:name w:val="Светлая заливка - Акцент 2"/>
    <w:basedOn w:val="664"/>
    <w:next w:val="680"/>
    <w:link w:val="661"/>
    <w:uiPriority w:val="60"/>
    <w:rPr>
      <w:color w:val="943634"/>
    </w:rPr>
    <w:tblPr/>
  </w:style>
  <w:style w:type="table" w:styleId="681">
    <w:name w:val="Светлая заливка - Акцент 3"/>
    <w:basedOn w:val="664"/>
    <w:next w:val="681"/>
    <w:link w:val="661"/>
    <w:uiPriority w:val="60"/>
    <w:rPr>
      <w:color w:val="76923c"/>
    </w:rPr>
    <w:tblPr/>
  </w:style>
  <w:style w:type="table" w:styleId="682">
    <w:name w:val="Светлая заливка - Акцент 4"/>
    <w:basedOn w:val="664"/>
    <w:next w:val="682"/>
    <w:link w:val="661"/>
    <w:uiPriority w:val="60"/>
    <w:rPr>
      <w:color w:val="5f497a"/>
    </w:rPr>
    <w:tblPr/>
  </w:style>
  <w:style w:type="table" w:styleId="683">
    <w:name w:val="Светлая заливка - Акцент 5"/>
    <w:basedOn w:val="664"/>
    <w:next w:val="683"/>
    <w:link w:val="661"/>
    <w:uiPriority w:val="60"/>
    <w:rPr>
      <w:color w:val="31849b"/>
    </w:rPr>
    <w:tblPr/>
  </w:style>
  <w:style w:type="table" w:styleId="684">
    <w:name w:val="Средний список 2"/>
    <w:basedOn w:val="664"/>
    <w:next w:val="684"/>
    <w:link w:val="661"/>
    <w:uiPriority w:val="66"/>
    <w:rPr>
      <w:rFonts w:ascii="Cambria" w:hAnsi="Cambria" w:eastAsia="Times New Roman" w:cs="Times New Roman"/>
      <w:color w:val="000000"/>
    </w:rPr>
    <w:tblPr/>
  </w:style>
  <w:style w:type="character" w:styleId="826" w:default="1">
    <w:name w:val="Default Paragraph Font"/>
    <w:uiPriority w:val="1"/>
    <w:semiHidden/>
    <w:unhideWhenUsed/>
  </w:style>
  <w:style w:type="numbering" w:styleId="827" w:default="1">
    <w:name w:val="No List"/>
    <w:uiPriority w:val="99"/>
    <w:semiHidden/>
    <w:unhideWhenUsed/>
  </w:style>
  <w:style w:type="table" w:styleId="828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home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revision>67</cp:revision>
  <dcterms:created xsi:type="dcterms:W3CDTF">2022-03-02T04:00:00Z</dcterms:created>
  <dcterms:modified xsi:type="dcterms:W3CDTF">2025-02-18T04:50:07Z</dcterms:modified>
  <cp:version>983040</cp:version>
</cp:coreProperties>
</file>