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87"/>
        <w:ind w:firstLine="709"/>
        <w:jc w:val="center"/>
        <w:spacing w:after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ИНФОРМАЦИОННОЕ СООБЩЕНИЕ </w:t>
      </w:r>
      <w:r>
        <w:rPr>
          <w:b/>
          <w:sz w:val="22"/>
          <w:szCs w:val="22"/>
        </w:rPr>
      </w:r>
      <w:r>
        <w:rPr>
          <w:b/>
          <w:sz w:val="22"/>
          <w:szCs w:val="22"/>
        </w:rPr>
      </w:r>
    </w:p>
    <w:p>
      <w:pPr>
        <w:pStyle w:val="874"/>
        <w:jc w:val="center"/>
        <w:spacing w:before="0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  <w:t xml:space="preserve">о проведении аукциона в электронной форме </w:t>
      </w:r>
      <w:r>
        <w:rPr>
          <w:sz w:val="22"/>
          <w:szCs w:val="22"/>
        </w:rPr>
        <w:t xml:space="preserve">с открытой формой подачи предложений о цене</w:t>
      </w:r>
      <w:r>
        <w:rPr>
          <w:sz w:val="22"/>
          <w:szCs w:val="22"/>
        </w:rPr>
        <w:t xml:space="preserve"> по продаже государственного имущества Новосибирской области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74"/>
        <w:jc w:val="center"/>
        <w:spacing w:before="0"/>
        <w:rPr>
          <w:b/>
          <w:bCs/>
          <w:sz w:val="22"/>
          <w:szCs w:val="22"/>
        </w:rPr>
      </w:pPr>
      <w:r>
        <w:rPr>
          <w:b/>
          <w:sz w:val="22"/>
          <w:szCs w:val="22"/>
          <w:highlight w:val="none"/>
        </w:rPr>
      </w:r>
      <w:r>
        <w:rPr>
          <w:b/>
          <w:bCs/>
          <w:sz w:val="22"/>
          <w:szCs w:val="22"/>
        </w:rPr>
      </w:r>
      <w:r>
        <w:rPr>
          <w:b/>
          <w:bCs/>
          <w:sz w:val="22"/>
          <w:szCs w:val="22"/>
        </w:rPr>
      </w:r>
    </w:p>
    <w:p>
      <w:pPr>
        <w:ind w:firstLine="709"/>
        <w:jc w:val="center"/>
        <w:tabs>
          <w:tab w:val="left" w:pos="284" w:leader="none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left" w:pos="9912" w:leader="none"/>
        </w:tabs>
        <w:rPr>
          <w:sz w:val="22"/>
          <w:szCs w:val="22"/>
        </w:rPr>
      </w:pPr>
      <w:r>
        <w:rPr>
          <w:sz w:val="22"/>
          <w:szCs w:val="22"/>
          <w:lang w:val="ru-RU"/>
        </w:rPr>
        <w:t xml:space="preserve">Департамент имущества и земельных отношений Новосибирской области 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ind w:firstLine="709"/>
        <w:jc w:val="center"/>
        <w:tabs>
          <w:tab w:val="left" w:pos="284" w:leader="none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left" w:pos="9912" w:leader="none"/>
        </w:tabs>
        <w:rPr>
          <w:b/>
          <w:bCs/>
          <w:sz w:val="22"/>
          <w:szCs w:val="22"/>
          <w:highlight w:val="yellow"/>
        </w:rPr>
      </w:pPr>
      <w:r>
        <w:rPr>
          <w:sz w:val="22"/>
          <w:szCs w:val="22"/>
        </w:rPr>
        <w:t xml:space="preserve">объявляет аукцион в электронной форме с открытой формой подачи предложений о цене по продаже государственного имущества Новосибирской области, который состоится </w:t>
      </w:r>
      <w:r>
        <w:rPr>
          <w:b/>
          <w:bCs/>
          <w:sz w:val="22"/>
          <w:szCs w:val="22"/>
          <w:highlight w:val="yellow"/>
        </w:rPr>
      </w:r>
      <w:r>
        <w:rPr>
          <w:b/>
          <w:bCs/>
          <w:sz w:val="22"/>
          <w:szCs w:val="22"/>
          <w:highlight w:val="yellow"/>
        </w:rPr>
      </w:r>
    </w:p>
    <w:p>
      <w:pPr>
        <w:ind w:firstLine="709"/>
        <w:jc w:val="center"/>
        <w:tabs>
          <w:tab w:val="left" w:pos="284" w:leader="none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left" w:pos="9912" w:leader="none"/>
        </w:tabs>
        <w:rPr>
          <w:b/>
          <w:bCs/>
          <w:sz w:val="22"/>
          <w:szCs w:val="22"/>
          <w:highlight w:val="white"/>
        </w:rPr>
      </w:pPr>
      <w:r>
        <w:rPr>
          <w:b/>
          <w:sz w:val="22"/>
          <w:szCs w:val="22"/>
          <w:highlight w:val="none"/>
        </w:rPr>
        <w:t xml:space="preserve">26</w:t>
      </w:r>
      <w:r>
        <w:rPr>
          <w:b/>
          <w:sz w:val="22"/>
          <w:szCs w:val="22"/>
          <w:highlight w:val="white"/>
        </w:rPr>
        <w:t xml:space="preserve"> мая</w:t>
      </w:r>
      <w:r>
        <w:rPr>
          <w:b/>
          <w:sz w:val="22"/>
          <w:szCs w:val="22"/>
          <w:highlight w:val="white"/>
        </w:rPr>
        <w:t xml:space="preserve"> 202</w:t>
      </w:r>
      <w:r>
        <w:rPr>
          <w:b/>
          <w:sz w:val="22"/>
          <w:szCs w:val="22"/>
          <w:highlight w:val="white"/>
        </w:rPr>
        <w:t xml:space="preserve">5 года в 1</w:t>
      </w:r>
      <w:r>
        <w:rPr>
          <w:b/>
          <w:sz w:val="22"/>
          <w:szCs w:val="22"/>
          <w:highlight w:val="white"/>
        </w:rPr>
        <w:t xml:space="preserve">1 час. 00 мин. по местному времени</w:t>
      </w:r>
      <w:r>
        <w:rPr>
          <w:b/>
          <w:sz w:val="22"/>
          <w:szCs w:val="22"/>
          <w:highlight w:val="white"/>
        </w:rPr>
        <w:t xml:space="preserve">.</w:t>
      </w:r>
      <w:r>
        <w:rPr>
          <w:b/>
          <w:sz w:val="22"/>
          <w:szCs w:val="22"/>
          <w:highlight w:val="white"/>
        </w:rPr>
        <w:t xml:space="preserve"> </w:t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ind w:firstLine="709"/>
        <w:jc w:val="center"/>
        <w:tabs>
          <w:tab w:val="left" w:pos="284" w:leader="none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left" w:pos="9912" w:leader="none"/>
        </w:tabs>
        <w:rPr>
          <w:b/>
          <w:bCs/>
          <w:sz w:val="22"/>
          <w:szCs w:val="22"/>
          <w:highlight w:val="white"/>
        </w:rPr>
      </w:pPr>
      <w:r>
        <w:rPr>
          <w:b/>
          <w:sz w:val="22"/>
          <w:szCs w:val="22"/>
          <w:highlight w:val="none"/>
        </w:rPr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ind w:firstLine="709"/>
        <w:jc w:val="center"/>
        <w:tabs>
          <w:tab w:val="left" w:pos="284" w:leader="none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left" w:pos="9912" w:leader="none"/>
        </w:tabs>
        <w:rPr>
          <w:sz w:val="22"/>
          <w:szCs w:val="22"/>
          <w:highlight w:val="none"/>
        </w:rPr>
      </w:pPr>
      <w:r>
        <w:rPr>
          <w:b/>
          <w:sz w:val="22"/>
          <w:szCs w:val="22"/>
        </w:rPr>
        <w:t xml:space="preserve">Место проведения аукциона в электронной форме: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 xml:space="preserve">электронная площадка «РТС-тендер»</w:t>
      </w:r>
      <w:r>
        <w:rPr>
          <w:sz w:val="22"/>
          <w:szCs w:val="22"/>
        </w:rPr>
        <w:t xml:space="preserve"> </w:t>
      </w:r>
      <w:hyperlink r:id="rId13" w:tooltip="http://www.rts-tender.ru" w:history="1">
        <w:r>
          <w:rPr>
            <w:sz w:val="22"/>
            <w:szCs w:val="22"/>
          </w:rPr>
          <w:t xml:space="preserve">www.rts-tender.ru</w:t>
        </w:r>
      </w:hyperlink>
      <w:r>
        <w:rPr>
          <w:sz w:val="22"/>
          <w:szCs w:val="22"/>
        </w:rPr>
        <w:t xml:space="preserve"> (секция «</w:t>
      </w:r>
      <w:r>
        <w:rPr>
          <w:sz w:val="22"/>
          <w:szCs w:val="22"/>
        </w:rPr>
        <w:t xml:space="preserve">Имущество</w:t>
      </w:r>
      <w:r>
        <w:rPr>
          <w:sz w:val="22"/>
          <w:szCs w:val="22"/>
        </w:rPr>
        <w:t xml:space="preserve">»)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ind w:firstLine="709"/>
        <w:jc w:val="center"/>
        <w:tabs>
          <w:tab w:val="left" w:pos="284" w:leader="none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left" w:pos="9912" w:leader="none"/>
        </w:tabs>
        <w:rPr>
          <w:b/>
          <w:bCs/>
          <w:sz w:val="22"/>
          <w:szCs w:val="22"/>
        </w:rPr>
      </w:pPr>
      <w:r>
        <w:rPr>
          <w:sz w:val="22"/>
          <w:szCs w:val="22"/>
          <w:highlight w:val="none"/>
        </w:rPr>
      </w:r>
      <w:r>
        <w:rPr>
          <w:b/>
          <w:bCs/>
          <w:sz w:val="22"/>
          <w:szCs w:val="22"/>
        </w:rPr>
      </w:r>
      <w:r>
        <w:rPr>
          <w:b/>
          <w:bCs/>
          <w:sz w:val="22"/>
          <w:szCs w:val="22"/>
        </w:rPr>
      </w:r>
    </w:p>
    <w:p>
      <w:pPr>
        <w:pStyle w:val="874"/>
        <w:spacing w:before="0"/>
        <w:rPr>
          <w:sz w:val="22"/>
          <w:szCs w:val="22"/>
          <w:highlight w:val="none"/>
        </w:rPr>
      </w:pPr>
      <w:r>
        <w:rPr>
          <w:sz w:val="22"/>
          <w:szCs w:val="22"/>
        </w:rPr>
        <w:t xml:space="preserve">Приватизация объектов недвижимости</w:t>
      </w:r>
      <w:r>
        <w:rPr>
          <w:sz w:val="22"/>
          <w:szCs w:val="22"/>
        </w:rPr>
        <w:t xml:space="preserve">, указанных в пункта</w:t>
      </w:r>
      <w:r>
        <w:rPr>
          <w:sz w:val="22"/>
          <w:szCs w:val="22"/>
          <w:highlight w:val="white"/>
        </w:rPr>
        <w:t xml:space="preserve">х</w:t>
      </w:r>
      <w:r>
        <w:rPr>
          <w:sz w:val="22"/>
          <w:szCs w:val="22"/>
          <w:highlight w:val="white"/>
        </w:rPr>
        <w:t xml:space="preserve"> 1-7, </w:t>
      </w:r>
      <w:r>
        <w:rPr>
          <w:sz w:val="22"/>
          <w:szCs w:val="22"/>
          <w:highlight w:val="white"/>
        </w:rPr>
        <w:t xml:space="preserve">о</w:t>
      </w:r>
      <w:r>
        <w:rPr>
          <w:sz w:val="22"/>
          <w:szCs w:val="22"/>
        </w:rPr>
        <w:t xml:space="preserve">существляется в соответствии с </w:t>
      </w:r>
      <w:r>
        <w:rPr>
          <w:sz w:val="22"/>
          <w:szCs w:val="22"/>
        </w:rPr>
        <w:t xml:space="preserve">постановлением Законодательного Собрания Новосибирской области от 25.11.2021 № 211 «О прогнозном плане </w:t>
      </w:r>
      <w:r>
        <w:rPr>
          <w:sz w:val="22"/>
          <w:szCs w:val="22"/>
        </w:rPr>
        <w:t xml:space="preserve">приватизации государственного имущества Новосибирской области на 2025 - 2027 годы» (в редакции от 31.10.2024)</w:t>
      </w:r>
      <w:r>
        <w:rPr>
          <w:sz w:val="22"/>
          <w:szCs w:val="22"/>
        </w:rPr>
        <w:t xml:space="preserve">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74"/>
        <w:spacing w:before="0"/>
        <w:rPr>
          <w:b/>
          <w:bCs/>
          <w:color w:val="000000" w:themeColor="text1"/>
          <w:sz w:val="22"/>
          <w:szCs w:val="22"/>
          <w:highlight w:val="none"/>
          <w14:ligatures w14:val="none"/>
        </w:rPr>
      </w:pPr>
      <w:r>
        <w:rPr>
          <w:b/>
          <w:bCs/>
          <w:color w:val="000000" w:themeColor="text1"/>
          <w:sz w:val="22"/>
          <w:szCs w:val="22"/>
          <w:highlight w:val="none"/>
        </w:rPr>
      </w:r>
      <w:r>
        <w:rPr>
          <w:b/>
          <w:bCs/>
          <w:color w:val="000000" w:themeColor="text1"/>
          <w:sz w:val="22"/>
          <w:szCs w:val="22"/>
          <w:highlight w:val="none"/>
          <w14:ligatures w14:val="none"/>
        </w:rPr>
      </w:r>
      <w:r>
        <w:rPr>
          <w:b/>
          <w:bCs/>
          <w:color w:val="000000" w:themeColor="text1"/>
          <w:sz w:val="22"/>
          <w:szCs w:val="22"/>
          <w:highlight w:val="none"/>
          <w14:ligatures w14:val="none"/>
        </w:rPr>
      </w:r>
    </w:p>
    <w:p>
      <w:pPr>
        <w:pStyle w:val="874"/>
        <w:ind w:firstLine="708"/>
        <w:spacing w:before="0"/>
        <w:rPr>
          <w:b/>
          <w:bCs/>
          <w:color w:val="000000" w:themeColor="text1"/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  <w:u w:val="none"/>
        </w:rPr>
        <w:t xml:space="preserve">1. </w:t>
      </w:r>
      <w:r>
        <w:rPr>
          <w:b w:val="0"/>
          <w:bCs w:val="0"/>
          <w:sz w:val="22"/>
          <w:szCs w:val="22"/>
          <w:u w:val="none"/>
        </w:rPr>
        <w:t xml:space="preserve">Л</w:t>
      </w:r>
      <w:r>
        <w:rPr>
          <w:b w:val="0"/>
          <w:bCs w:val="0"/>
          <w:sz w:val="22"/>
          <w:szCs w:val="22"/>
          <w:u w:val="none"/>
        </w:rPr>
        <w:t xml:space="preserve">от № 1:</w:t>
      </w:r>
      <w:r>
        <w:rPr>
          <w:sz w:val="22"/>
          <w:szCs w:val="22"/>
          <w:u w:val="none"/>
        </w:rPr>
        <w:t xml:space="preserve"> </w:t>
      </w:r>
      <w:r>
        <w:rPr>
          <w:sz w:val="22"/>
          <w:szCs w:val="22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Здание</w:t>
      </w:r>
      <w:r>
        <w:rPr>
          <w:b/>
          <w:bCs/>
          <w:i/>
          <w:iCs/>
          <w:sz w:val="22"/>
          <w:szCs w:val="22"/>
        </w:rPr>
        <w:t xml:space="preserve">,</w:t>
      </w:r>
      <w:r>
        <w:rPr>
          <w:b/>
          <w:bCs/>
          <w:i/>
          <w:iCs/>
          <w:sz w:val="22"/>
          <w:szCs w:val="22"/>
        </w:rPr>
        <w:t xml:space="preserve"> площадь 398,9</w:t>
      </w:r>
      <w:r>
        <w:rPr>
          <w:b/>
          <w:bCs/>
          <w:i/>
          <w:iCs/>
          <w:sz w:val="22"/>
          <w:szCs w:val="22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кв.м., </w:t>
      </w:r>
      <w:r>
        <w:rPr>
          <w:b/>
          <w:bCs/>
          <w:i/>
          <w:iCs/>
          <w:sz w:val="22"/>
          <w:szCs w:val="22"/>
        </w:rPr>
        <w:t xml:space="preserve">назначение: нежилое</w:t>
      </w:r>
      <w:r>
        <w:rPr>
          <w:b/>
          <w:bCs/>
          <w:i/>
          <w:iCs/>
          <w:sz w:val="22"/>
          <w:szCs w:val="22"/>
        </w:rPr>
        <w:t xml:space="preserve"> здание</w:t>
      </w:r>
      <w:r>
        <w:rPr>
          <w:b/>
          <w:bCs/>
          <w:i/>
          <w:iCs/>
          <w:sz w:val="22"/>
          <w:szCs w:val="22"/>
        </w:rPr>
        <w:t xml:space="preserve">,</w:t>
      </w:r>
      <w:r>
        <w:rPr>
          <w:b/>
          <w:bCs/>
          <w:i/>
          <w:iCs/>
          <w:sz w:val="22"/>
          <w:szCs w:val="22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кадастровый номер: 54:07:</w:t>
      </w:r>
      <w:r>
        <w:rPr>
          <w:b/>
          <w:bCs/>
          <w:i/>
          <w:iCs/>
          <w:sz w:val="22"/>
          <w:szCs w:val="22"/>
        </w:rPr>
        <w:t xml:space="preserve">020105:117</w:t>
      </w:r>
      <w:r>
        <w:rPr>
          <w:b/>
          <w:bCs/>
          <w:i/>
          <w:iCs/>
          <w:sz w:val="22"/>
          <w:szCs w:val="22"/>
        </w:rPr>
        <w:t xml:space="preserve">, расположенн</w:t>
      </w:r>
      <w:r>
        <w:rPr>
          <w:b/>
          <w:bCs/>
          <w:i/>
          <w:iCs/>
          <w:sz w:val="22"/>
          <w:szCs w:val="22"/>
        </w:rPr>
        <w:t xml:space="preserve">ое</w:t>
      </w:r>
      <w:r>
        <w:rPr>
          <w:b/>
          <w:bCs/>
          <w:i/>
          <w:iCs/>
          <w:sz w:val="22"/>
          <w:szCs w:val="22"/>
        </w:rPr>
        <w:t xml:space="preserve"> по адресу: Новосибирская область, Искитимский район, рабочий поселок Линево, улица Первопроходцев, дом 2/1</w:t>
      </w:r>
      <w:r>
        <w:rPr>
          <w:b/>
          <w:bCs/>
          <w:i/>
          <w:iCs/>
          <w:sz w:val="22"/>
          <w:szCs w:val="22"/>
        </w:rPr>
        <w:t xml:space="preserve">.</w:t>
      </w:r>
      <w:r>
        <w:rPr>
          <w:b/>
          <w:bCs/>
          <w:color w:val="000000" w:themeColor="text1"/>
          <w:sz w:val="22"/>
          <w:szCs w:val="22"/>
          <w14:ligatures w14:val="none"/>
        </w:rPr>
      </w:r>
      <w:r>
        <w:rPr>
          <w:b/>
          <w:bCs/>
          <w:color w:val="000000" w:themeColor="text1"/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tabs>
          <w:tab w:val="clear" w:pos="4153" w:leader="none"/>
          <w:tab w:val="clear" w:pos="8306" w:leader="none"/>
        </w:tabs>
        <w:rPr>
          <w:sz w:val="22"/>
          <w:szCs w:val="22"/>
          <w14:ligatures w14:val="none"/>
        </w:rPr>
      </w:pPr>
      <w:r>
        <w:rPr>
          <w:sz w:val="22"/>
          <w:szCs w:val="22"/>
        </w:rPr>
      </w:r>
      <w:r>
        <w:rPr>
          <w:sz w:val="22"/>
          <w:szCs w:val="22"/>
        </w:rPr>
        <w:t xml:space="preserve">Решение об условиях приватизации принято приказом департамента имущества и земельных отношений Новосибирской области от 26.02.2025 № 673 «</w:t>
      </w:r>
      <w:r>
        <w:rPr>
          <w:sz w:val="22"/>
          <w:szCs w:val="22"/>
        </w:rPr>
        <w:t xml:space="preserve">Об условиях приватизации </w:t>
      </w:r>
      <w:r>
        <w:rPr>
          <w:sz w:val="22"/>
          <w:szCs w:val="22"/>
        </w:rPr>
        <w:t xml:space="preserve">находящегося в государственной собственности Новосибирской области </w:t>
      </w:r>
      <w:r>
        <w:rPr>
          <w:sz w:val="22"/>
          <w:szCs w:val="22"/>
        </w:rPr>
        <w:t xml:space="preserve">имущества, расположенного по адресу: </w:t>
      </w:r>
      <w:r>
        <w:rPr>
          <w:sz w:val="22"/>
          <w:szCs w:val="22"/>
        </w:rPr>
        <w:t xml:space="preserve">Искитимский район, р.п. Линево, ул. Первопроходцев, д. 2/1</w:t>
      </w:r>
      <w:r>
        <w:rPr>
          <w:sz w:val="22"/>
          <w:szCs w:val="22"/>
        </w:rPr>
        <w:t xml:space="preserve">».</w:t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rPr>
          <w:sz w:val="22"/>
          <w:szCs w:val="22"/>
          <w14:ligatures w14:val="none"/>
        </w:rPr>
      </w:pPr>
      <w:r>
        <w:rPr>
          <w:sz w:val="22"/>
          <w:szCs w:val="22"/>
        </w:rPr>
        <w:t xml:space="preserve">Собственник имущества – Новосибирская область.</w:t>
      </w:r>
      <w:r>
        <w:rPr>
          <w:sz w:val="22"/>
          <w:szCs w:val="22"/>
        </w:rPr>
        <w:tab/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rPr>
          <w:sz w:val="22"/>
          <w:szCs w:val="22"/>
          <w14:ligatures w14:val="none"/>
        </w:rPr>
      </w:pPr>
      <w:r>
        <w:rPr>
          <w:sz w:val="22"/>
          <w:szCs w:val="22"/>
        </w:rPr>
        <w:t xml:space="preserve"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</w:t>
      </w:r>
      <w:r>
        <w:rPr>
          <w:sz w:val="22"/>
          <w:szCs w:val="22"/>
        </w:rPr>
        <w:t xml:space="preserve">Ограничений в пользовании не имеется.</w:t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tabs>
          <w:tab w:val="clear" w:pos="4677" w:leader="none"/>
          <w:tab w:val="clear" w:pos="9355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На</w:t>
      </w:r>
      <w:r>
        <w:rPr>
          <w:sz w:val="22"/>
          <w:szCs w:val="22"/>
        </w:rPr>
        <w:t xml:space="preserve">чальная цена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продажи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имущества</w:t>
      </w:r>
      <w:r>
        <w:rPr>
          <w:sz w:val="22"/>
          <w:szCs w:val="22"/>
        </w:rPr>
        <w:t xml:space="preserve"> – </w:t>
      </w:r>
      <w:r>
        <w:rPr>
          <w:sz w:val="22"/>
          <w:szCs w:val="22"/>
        </w:rPr>
        <w:t xml:space="preserve">2 464 000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рублей</w:t>
      </w:r>
      <w:r>
        <w:rPr>
          <w:sz w:val="22"/>
          <w:szCs w:val="22"/>
        </w:rPr>
        <w:t xml:space="preserve"> с учётом НДС</w:t>
      </w:r>
      <w:r>
        <w:rPr>
          <w:b w:val="0"/>
          <w:bCs w:val="0"/>
          <w:sz w:val="22"/>
          <w:szCs w:val="22"/>
        </w:rPr>
        <w:t xml:space="preserve">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Размер задатка</w:t>
      </w:r>
      <w:r>
        <w:rPr>
          <w:b w:val="0"/>
          <w:bCs w:val="0"/>
          <w:sz w:val="22"/>
          <w:szCs w:val="22"/>
        </w:rPr>
        <w:t xml:space="preserve"> – </w:t>
      </w:r>
      <w:r>
        <w:rPr>
          <w:b w:val="0"/>
          <w:bCs w:val="0"/>
          <w:sz w:val="22"/>
          <w:szCs w:val="22"/>
        </w:rPr>
        <w:t xml:space="preserve">246 400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рублей</w:t>
      </w:r>
      <w:r>
        <w:rPr>
          <w:b w:val="0"/>
          <w:bCs w:val="0"/>
          <w:sz w:val="22"/>
          <w:szCs w:val="22"/>
        </w:rPr>
        <w:t xml:space="preserve">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Величина повышения начальной цены («шаг аукциона»): –</w:t>
      </w:r>
      <w:r>
        <w:rPr>
          <w:b w:val="0"/>
          <w:bCs w:val="0"/>
          <w:sz w:val="22"/>
          <w:szCs w:val="22"/>
        </w:rPr>
        <w:t xml:space="preserve"> 123 200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рублей</w:t>
      </w:r>
      <w:r>
        <w:rPr>
          <w:b w:val="0"/>
          <w:bCs w:val="0"/>
          <w:sz w:val="22"/>
          <w:szCs w:val="22"/>
        </w:rPr>
        <w:t xml:space="preserve">. 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89"/>
        <w:ind w:firstLine="709"/>
        <w:tabs>
          <w:tab w:val="left" w:pos="284" w:leader="none"/>
        </w:tabs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Средства платежа</w:t>
      </w:r>
      <w:r>
        <w:rPr>
          <w:b w:val="0"/>
          <w:bCs w:val="0"/>
          <w:sz w:val="22"/>
          <w:szCs w:val="22"/>
        </w:rPr>
        <w:t xml:space="preserve">: денежные средства в валюте Российской Федерации (рубли).</w:t>
      </w:r>
      <w:r>
        <w:rPr>
          <w:b w:val="0"/>
          <w:bCs w:val="0"/>
          <w:sz w:val="22"/>
          <w:szCs w:val="22"/>
        </w:rPr>
      </w:r>
      <w:r>
        <w:rPr>
          <w:b w:val="0"/>
          <w:bCs w:val="0"/>
          <w:sz w:val="22"/>
          <w:szCs w:val="22"/>
        </w:rPr>
      </w:r>
    </w:p>
    <w:p>
      <w:pPr>
        <w:pStyle w:val="889"/>
        <w:ind w:firstLine="709"/>
        <w:tabs>
          <w:tab w:val="left" w:pos="284" w:leader="none"/>
        </w:tabs>
        <w:rPr>
          <w:b w:val="0"/>
          <w:bCs w:val="0"/>
          <w:sz w:val="22"/>
          <w:szCs w:val="22"/>
          <w:highlight w:val="none"/>
        </w:rPr>
      </w:pPr>
      <w:r>
        <w:rPr>
          <w:b w:val="0"/>
          <w:bCs w:val="0"/>
          <w:sz w:val="22"/>
          <w:szCs w:val="22"/>
        </w:rPr>
      </w:r>
      <w:r>
        <w:rPr>
          <w:b w:val="0"/>
          <w:bCs w:val="0"/>
          <w:sz w:val="22"/>
          <w:szCs w:val="22"/>
        </w:rPr>
        <w:t xml:space="preserve">Сведения о предыдущих торгах по продаже имущества, объявленных в течение года, предшествующего продаже, и об итогах торгов по продаже имущества</w:t>
      </w:r>
      <w:r>
        <w:rPr>
          <w:b w:val="0"/>
          <w:bCs w:val="0"/>
          <w:sz w:val="22"/>
          <w:szCs w:val="22"/>
        </w:rPr>
        <w:t xml:space="preserve">: </w:t>
      </w:r>
      <w:r>
        <w:rPr>
          <w:b w:val="0"/>
          <w:bCs w:val="0"/>
          <w:sz w:val="22"/>
          <w:szCs w:val="22"/>
        </w:rPr>
        <w:t xml:space="preserve">имущество выставлялось на продажу три раза в 2024 году, один раз в 2025 году. Торги признаны не состоявшимися в связи с отсутствием заявок.</w:t>
      </w:r>
      <w:r>
        <w:rPr>
          <w:b w:val="0"/>
          <w:bCs w:val="0"/>
          <w:sz w:val="22"/>
          <w:szCs w:val="22"/>
          <w:highlight w:val="none"/>
        </w:rPr>
      </w:r>
      <w:r>
        <w:rPr>
          <w:b w:val="0"/>
          <w:bCs w:val="0"/>
          <w:sz w:val="22"/>
          <w:szCs w:val="22"/>
          <w:highlight w:val="none"/>
        </w:rPr>
      </w:r>
    </w:p>
    <w:p>
      <w:pPr>
        <w:pStyle w:val="889"/>
        <w:ind w:firstLine="709"/>
        <w:tabs>
          <w:tab w:val="left" w:pos="284" w:leader="none"/>
          <w:tab w:val="clear" w:pos="4153" w:leader="none"/>
          <w:tab w:val="clear" w:pos="8306" w:leader="none"/>
        </w:tabs>
        <w:rPr>
          <w:b w:val="0"/>
          <w:bCs w:val="0"/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</w:rPr>
        <w:t xml:space="preserve">Приватизация</w:t>
      </w:r>
      <w:r>
        <w:rPr>
          <w:b w:val="0"/>
          <w:bCs w:val="0"/>
          <w:sz w:val="22"/>
          <w:szCs w:val="22"/>
        </w:rPr>
        <w:t xml:space="preserve"> имущества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осуществляется одновременно с отчуж</w:t>
      </w:r>
      <w:r>
        <w:rPr>
          <w:b w:val="0"/>
          <w:bCs w:val="0"/>
          <w:sz w:val="22"/>
          <w:szCs w:val="22"/>
        </w:rPr>
        <w:t xml:space="preserve">дением лицу, приобретающему это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и</w:t>
      </w:r>
      <w:r>
        <w:rPr>
          <w:b w:val="0"/>
          <w:bCs w:val="0"/>
          <w:sz w:val="22"/>
          <w:szCs w:val="22"/>
        </w:rPr>
        <w:t xml:space="preserve">мущество</w:t>
      </w:r>
      <w:r>
        <w:rPr>
          <w:b w:val="0"/>
          <w:bCs w:val="0"/>
          <w:sz w:val="22"/>
          <w:szCs w:val="22"/>
        </w:rPr>
        <w:t xml:space="preserve">, земельного участка, занимаемого этим </w:t>
      </w:r>
      <w:r>
        <w:rPr>
          <w:b w:val="0"/>
          <w:bCs w:val="0"/>
          <w:sz w:val="22"/>
          <w:szCs w:val="22"/>
        </w:rPr>
        <w:t xml:space="preserve">имуществом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и необходимого для его использования:</w:t>
      </w:r>
      <w:r>
        <w:rPr>
          <w:b w:val="0"/>
          <w:bCs w:val="0"/>
          <w:sz w:val="22"/>
          <w:szCs w:val="22"/>
          <w14:ligatures w14:val="none"/>
        </w:rPr>
      </w:r>
      <w:r>
        <w:rPr>
          <w:b w:val="0"/>
          <w:bCs w:val="0"/>
          <w:sz w:val="22"/>
          <w:szCs w:val="22"/>
          <w14:ligatures w14:val="none"/>
        </w:rPr>
      </w:r>
    </w:p>
    <w:p>
      <w:pPr>
        <w:pStyle w:val="889"/>
        <w:ind w:firstLine="709"/>
        <w:tabs>
          <w:tab w:val="left" w:pos="284" w:leader="none"/>
          <w:tab w:val="clear" w:pos="4153" w:leader="none"/>
          <w:tab w:val="clear" w:pos="8306" w:leader="none"/>
        </w:tabs>
        <w:rPr>
          <w14:ligatures w14:val="none"/>
        </w:rPr>
      </w:pPr>
      <w:r>
        <w:rPr>
          <w:b w:val="0"/>
          <w:bCs w:val="0"/>
          <w:sz w:val="22"/>
          <w:szCs w:val="22"/>
        </w:rPr>
        <w:t xml:space="preserve">Земельный участок</w:t>
      </w:r>
      <w:r>
        <w:rPr>
          <w:b w:val="0"/>
          <w:bCs w:val="0"/>
          <w:sz w:val="22"/>
          <w:szCs w:val="22"/>
        </w:rPr>
        <w:t xml:space="preserve">, площадь 645</w:t>
      </w:r>
      <w:r>
        <w:rPr>
          <w:b w:val="0"/>
          <w:bCs w:val="0"/>
          <w:sz w:val="22"/>
          <w:szCs w:val="22"/>
        </w:rPr>
        <w:t xml:space="preserve"> кв.м.,</w:t>
      </w:r>
      <w:r>
        <w:rPr>
          <w:b w:val="0"/>
          <w:bCs w:val="0"/>
          <w:sz w:val="22"/>
          <w:szCs w:val="22"/>
        </w:rPr>
        <w:t xml:space="preserve"> категория земель: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земли насел</w:t>
      </w:r>
      <w:r>
        <w:rPr>
          <w:b w:val="0"/>
          <w:bCs w:val="0"/>
          <w:sz w:val="22"/>
          <w:szCs w:val="22"/>
        </w:rPr>
        <w:t xml:space="preserve">ё</w:t>
      </w:r>
      <w:r>
        <w:rPr>
          <w:b w:val="0"/>
          <w:bCs w:val="0"/>
          <w:sz w:val="22"/>
          <w:szCs w:val="22"/>
        </w:rPr>
        <w:t xml:space="preserve">нных пунктов</w:t>
      </w:r>
      <w:r>
        <w:rPr>
          <w:b w:val="0"/>
          <w:bCs w:val="0"/>
          <w:sz w:val="22"/>
          <w:szCs w:val="22"/>
        </w:rPr>
        <w:t xml:space="preserve">, к</w:t>
      </w:r>
      <w:r>
        <w:rPr>
          <w:b w:val="0"/>
          <w:bCs w:val="0"/>
          <w:sz w:val="22"/>
          <w:szCs w:val="22"/>
        </w:rPr>
        <w:t xml:space="preserve">адастровый</w:t>
      </w:r>
      <w:r>
        <w:rPr>
          <w:b w:val="0"/>
          <w:bCs w:val="0"/>
          <w:sz w:val="22"/>
          <w:szCs w:val="22"/>
        </w:rPr>
        <w:t xml:space="preserve"> номер: </w:t>
      </w:r>
      <w:r>
        <w:rPr>
          <w:b w:val="0"/>
          <w:bCs w:val="0"/>
          <w:sz w:val="22"/>
          <w:szCs w:val="22"/>
        </w:rPr>
        <w:t xml:space="preserve">54:</w:t>
      </w:r>
      <w:r>
        <w:rPr>
          <w:b w:val="0"/>
          <w:bCs w:val="0"/>
          <w:sz w:val="22"/>
          <w:szCs w:val="22"/>
        </w:rPr>
        <w:t xml:space="preserve">07:</w:t>
      </w:r>
      <w:r>
        <w:rPr>
          <w:b w:val="0"/>
          <w:bCs w:val="0"/>
          <w:sz w:val="22"/>
          <w:szCs w:val="22"/>
        </w:rPr>
        <w:t xml:space="preserve">020105:</w:t>
      </w:r>
      <w:r>
        <w:rPr>
          <w:b w:val="0"/>
          <w:bCs w:val="0"/>
          <w:sz w:val="22"/>
          <w:szCs w:val="22"/>
        </w:rPr>
        <w:t xml:space="preserve">882.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Новосибирская область, Искитимский район, рабочий поселок Линево, улица Первопроходцев, дом 2/1</w:t>
      </w:r>
      <w:r>
        <w:rPr>
          <w:b w:val="0"/>
          <w:bCs w:val="0"/>
          <w:sz w:val="22"/>
          <w:szCs w:val="22"/>
        </w:rPr>
        <w:t xml:space="preserve">.</w:t>
      </w:r>
      <w:r>
        <w:rPr>
          <w14:ligatures w14:val="none"/>
        </w:rPr>
      </w:r>
      <w:r>
        <w:rPr>
          <w14:ligatures w14:val="none"/>
        </w:rPr>
      </w:r>
    </w:p>
    <w:p>
      <w:pPr>
        <w:pStyle w:val="889"/>
        <w:ind w:firstLine="709"/>
        <w:tabs>
          <w:tab w:val="left" w:pos="284" w:leader="none"/>
          <w:tab w:val="clear" w:pos="4677" w:leader="none"/>
          <w:tab w:val="clear" w:pos="9355" w:leader="none"/>
        </w:tabs>
        <w:rPr>
          <w:b w:val="0"/>
          <w:bCs w:val="0"/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</w:rPr>
        <w:t xml:space="preserve">Цена выкупа указанного земельного участка 279 000 </w:t>
      </w:r>
      <w:r>
        <w:rPr>
          <w:b w:val="0"/>
          <w:bCs w:val="0"/>
          <w:sz w:val="22"/>
          <w:szCs w:val="22"/>
        </w:rPr>
        <w:t xml:space="preserve">(</w:t>
      </w:r>
      <w:r>
        <w:rPr>
          <w:b w:val="0"/>
          <w:bCs w:val="0"/>
          <w:sz w:val="22"/>
          <w:szCs w:val="22"/>
        </w:rPr>
        <w:t xml:space="preserve">Двести семьдесят девять тысяч)</w:t>
      </w:r>
      <w:r>
        <w:rPr>
          <w:b w:val="0"/>
          <w:bCs w:val="0"/>
          <w:sz w:val="22"/>
          <w:szCs w:val="22"/>
        </w:rPr>
        <w:t xml:space="preserve"> рубл</w:t>
      </w:r>
      <w:r>
        <w:rPr>
          <w:b w:val="0"/>
          <w:bCs w:val="0"/>
          <w:sz w:val="22"/>
          <w:szCs w:val="22"/>
        </w:rPr>
        <w:t xml:space="preserve">ей без учёта </w:t>
      </w:r>
      <w:r>
        <w:rPr>
          <w:b w:val="0"/>
          <w:bCs w:val="0"/>
          <w:sz w:val="22"/>
          <w:szCs w:val="22"/>
        </w:rPr>
        <w:t xml:space="preserve">налога на добавленную стоимость</w:t>
      </w:r>
      <w:r>
        <w:rPr>
          <w:b w:val="0"/>
          <w:bCs w:val="0"/>
          <w:sz w:val="22"/>
          <w:szCs w:val="22"/>
        </w:rPr>
        <w:t xml:space="preserve">.</w:t>
      </w:r>
      <w:r>
        <w:rPr>
          <w:b w:val="0"/>
          <w:bCs w:val="0"/>
          <w:sz w:val="22"/>
          <w:szCs w:val="22"/>
          <w14:ligatures w14:val="none"/>
        </w:rPr>
      </w:r>
      <w:r>
        <w:rPr>
          <w:b w:val="0"/>
          <w:bCs w:val="0"/>
          <w:sz w:val="22"/>
          <w:szCs w:val="22"/>
          <w14:ligatures w14:val="none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b/>
          <w:bCs/>
          <w:i/>
          <w:sz w:val="22"/>
          <w:szCs w:val="22"/>
          <w:highlight w:val="none"/>
        </w:rPr>
      </w:pPr>
      <w:r>
        <w:rPr>
          <w:b/>
          <w:bCs/>
          <w:i/>
          <w:sz w:val="22"/>
          <w:szCs w:val="22"/>
        </w:rPr>
        <w:t xml:space="preserve">Земельный участок не входит в состав лота. Победитель аукциона либо лицо, признанное единственным участником аукци</w:t>
      </w:r>
      <w:r>
        <w:rPr>
          <w:b/>
          <w:bCs/>
          <w:i/>
          <w:sz w:val="22"/>
          <w:szCs w:val="22"/>
        </w:rPr>
        <w:t xml:space="preserve">она, в случае, установленном в п. 3 ст. 18 Федерального закона от 21.12.2001 № 178-ФЗ «О приватизации государственного и муниципального имущества», обязан заключить договор купли-продажи земельного участка одновременно с договором купли-продажи имущества. </w:t>
      </w:r>
      <w:r>
        <w:rPr>
          <w:b/>
          <w:bCs/>
          <w:i/>
          <w:sz w:val="22"/>
          <w:szCs w:val="22"/>
          <w:highlight w:val="none"/>
        </w:rPr>
      </w:r>
      <w:r>
        <w:rPr>
          <w:b/>
          <w:bCs/>
          <w:i/>
          <w:sz w:val="22"/>
          <w:szCs w:val="22"/>
          <w:highlight w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</w:rPr>
      </w:pPr>
      <w:r>
        <w:rPr>
          <w:sz w:val="22"/>
          <w:szCs w:val="22"/>
          <w:highlight w:val="none"/>
        </w:rPr>
        <w:t xml:space="preserve">Сведен</w:t>
      </w:r>
      <w:r>
        <w:rPr>
          <w:sz w:val="22"/>
          <w:szCs w:val="22"/>
          <w:highlight w:val="none"/>
        </w:rPr>
        <w:t xml:space="preserve">ия об установлении обременения имущества публичным сервитутом и (или) ограничениями, предусмотренными Федеральным законом от 21.12.2001 № 178-ФЗ «О приватизации государственного и муниципального имущества» и (или) иными федеральными законами – отсутствуют.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</w:rPr>
      </w:pPr>
      <w:r>
        <w:rPr>
          <w:sz w:val="22"/>
          <w:szCs w:val="22"/>
          <w:highlight w:val="none"/>
        </w:rPr>
        <w:t xml:space="preserve">Условия конкурса, формы и сроки их выполнения – отсутствуют.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74"/>
        <w:spacing w:before="0"/>
        <w:rPr>
          <w:sz w:val="22"/>
          <w:szCs w:val="22"/>
        </w:rPr>
      </w:pPr>
      <w:r>
        <w:rPr>
          <w:b/>
          <w:bCs/>
          <w:i/>
          <w:sz w:val="22"/>
          <w:szCs w:val="22"/>
          <w:highlight w:val="none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74"/>
        <w:ind w:firstLine="708"/>
        <w:spacing w:before="0"/>
        <w:rPr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  <w:u w:val="none"/>
        </w:rPr>
        <w:t xml:space="preserve">2. </w:t>
      </w:r>
      <w:r>
        <w:rPr>
          <w:b w:val="0"/>
          <w:bCs w:val="0"/>
          <w:sz w:val="22"/>
          <w:szCs w:val="22"/>
          <w:u w:val="none"/>
        </w:rPr>
        <w:t xml:space="preserve">Л</w:t>
      </w:r>
      <w:r>
        <w:rPr>
          <w:b w:val="0"/>
          <w:bCs w:val="0"/>
          <w:sz w:val="22"/>
          <w:szCs w:val="22"/>
          <w:u w:val="none"/>
        </w:rPr>
        <w:t xml:space="preserve">от № 2:</w:t>
      </w:r>
      <w:r>
        <w:rPr>
          <w:sz w:val="22"/>
          <w:szCs w:val="22"/>
          <w:u w:val="none"/>
        </w:rPr>
        <w:t xml:space="preserve"> </w:t>
      </w:r>
      <w:r>
        <w:rPr>
          <w:b w:val="0"/>
          <w:bCs w:val="0"/>
          <w:sz w:val="22"/>
          <w:szCs w:val="22"/>
          <w:u w:val="none"/>
        </w:rPr>
        <w:t xml:space="preserve"> </w:t>
      </w:r>
      <w:r>
        <w:rPr>
          <w:b/>
          <w:bCs/>
          <w:i/>
          <w:iCs/>
          <w:sz w:val="22"/>
          <w:szCs w:val="22"/>
          <w:u w:val="none"/>
        </w:rPr>
        <w:t xml:space="preserve">Здание</w:t>
      </w:r>
      <w:r>
        <w:rPr>
          <w:b/>
          <w:bCs/>
          <w:i/>
          <w:iCs/>
          <w:sz w:val="22"/>
          <w:szCs w:val="22"/>
          <w:u w:val="none"/>
        </w:rPr>
        <w:t xml:space="preserve">,</w:t>
      </w:r>
      <w:r>
        <w:rPr>
          <w:b/>
          <w:bCs/>
          <w:i/>
          <w:iCs/>
          <w:sz w:val="22"/>
          <w:szCs w:val="22"/>
          <w:u w:val="none"/>
        </w:rPr>
        <w:t xml:space="preserve"> площадь 391,8</w:t>
      </w:r>
      <w:r>
        <w:rPr>
          <w:b/>
          <w:bCs/>
          <w:i/>
          <w:iCs/>
          <w:sz w:val="22"/>
          <w:szCs w:val="22"/>
          <w:u w:val="none"/>
        </w:rPr>
        <w:t xml:space="preserve"> </w:t>
      </w:r>
      <w:r>
        <w:rPr>
          <w:b/>
          <w:bCs/>
          <w:i/>
          <w:iCs/>
          <w:sz w:val="22"/>
          <w:szCs w:val="22"/>
          <w:u w:val="none"/>
        </w:rPr>
        <w:t xml:space="preserve">кв.м., </w:t>
      </w:r>
      <w:r>
        <w:rPr>
          <w:b/>
          <w:bCs/>
          <w:i/>
          <w:iCs/>
          <w:sz w:val="22"/>
          <w:szCs w:val="22"/>
          <w:u w:val="none"/>
        </w:rPr>
        <w:t xml:space="preserve">назначение: нежилое</w:t>
      </w:r>
      <w:r>
        <w:rPr>
          <w:b/>
          <w:bCs/>
          <w:i/>
          <w:iCs/>
          <w:sz w:val="22"/>
          <w:szCs w:val="22"/>
          <w:u w:val="none"/>
        </w:rPr>
        <w:t xml:space="preserve"> здание</w:t>
      </w:r>
      <w:r>
        <w:rPr>
          <w:b/>
          <w:bCs/>
          <w:i/>
          <w:iCs/>
          <w:sz w:val="22"/>
          <w:szCs w:val="22"/>
          <w:u w:val="none"/>
        </w:rPr>
        <w:t xml:space="preserve">,</w:t>
      </w:r>
      <w:r>
        <w:rPr>
          <w:b/>
          <w:bCs/>
          <w:i/>
          <w:iCs/>
          <w:sz w:val="22"/>
          <w:szCs w:val="22"/>
          <w:u w:val="none"/>
        </w:rPr>
        <w:t xml:space="preserve"> </w:t>
      </w:r>
      <w:r>
        <w:rPr>
          <w:b/>
          <w:bCs/>
          <w:i/>
          <w:iCs/>
          <w:sz w:val="22"/>
          <w:szCs w:val="22"/>
          <w:u w:val="none"/>
        </w:rPr>
        <w:t xml:space="preserve">кадастровый номер: 54:15:011301:16</w:t>
      </w:r>
      <w:r>
        <w:rPr>
          <w:b/>
          <w:bCs/>
          <w:i/>
          <w:iCs/>
          <w:sz w:val="22"/>
          <w:szCs w:val="22"/>
          <w:u w:val="none"/>
        </w:rPr>
        <w:t xml:space="preserve">, расположенн</w:t>
      </w:r>
      <w:r>
        <w:rPr>
          <w:b/>
          <w:bCs/>
          <w:i/>
          <w:iCs/>
          <w:sz w:val="22"/>
          <w:szCs w:val="22"/>
          <w:u w:val="none"/>
        </w:rPr>
        <w:t xml:space="preserve">ое</w:t>
      </w:r>
      <w:r>
        <w:rPr>
          <w:b/>
          <w:bCs/>
          <w:i/>
          <w:iCs/>
          <w:sz w:val="22"/>
          <w:szCs w:val="22"/>
          <w:u w:val="none"/>
        </w:rPr>
        <w:t xml:space="preserve"> по адресу: Новосибирская область, Купинский район, город Купино, улица Дорожная, дом 5</w:t>
      </w:r>
      <w:r>
        <w:rPr>
          <w:b/>
          <w:bCs/>
          <w:i/>
          <w:iCs/>
          <w:sz w:val="22"/>
          <w:szCs w:val="22"/>
          <w:u w:val="none"/>
        </w:rPr>
        <w:t xml:space="preserve">.</w:t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tabs>
          <w:tab w:val="clear" w:pos="4153" w:leader="none"/>
          <w:tab w:val="clear" w:pos="8306" w:leader="none"/>
        </w:tabs>
        <w:rPr>
          <w:sz w:val="22"/>
          <w:szCs w:val="22"/>
          <w14:ligatures w14:val="none"/>
        </w:rPr>
      </w:pPr>
      <w:r>
        <w:rPr>
          <w:sz w:val="22"/>
          <w:szCs w:val="22"/>
        </w:rPr>
      </w:r>
      <w:r>
        <w:rPr>
          <w:sz w:val="22"/>
          <w:szCs w:val="22"/>
        </w:rPr>
        <w:t xml:space="preserve">Решение об условиях приватизации принято приказом департамента имущества и земельных отношений Новосибирской области от 26.02.2025 № 674 «</w:t>
      </w:r>
      <w:r>
        <w:rPr>
          <w:sz w:val="22"/>
          <w:szCs w:val="22"/>
        </w:rPr>
        <w:t xml:space="preserve">Об условиях приватизации </w:t>
      </w:r>
      <w:r>
        <w:rPr>
          <w:sz w:val="22"/>
          <w:szCs w:val="22"/>
        </w:rPr>
        <w:t xml:space="preserve">находящегося в государственной собственности Новосибирской области </w:t>
      </w:r>
      <w:r>
        <w:rPr>
          <w:sz w:val="22"/>
          <w:szCs w:val="22"/>
        </w:rPr>
        <w:t xml:space="preserve">имущества, расположенного по адресу: </w:t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rPr>
          <w:sz w:val="22"/>
          <w:szCs w:val="22"/>
          <w14:ligatures w14:val="none"/>
        </w:rPr>
      </w:pPr>
      <w:r>
        <w:rPr>
          <w:sz w:val="22"/>
          <w:szCs w:val="22"/>
        </w:rPr>
        <w:t xml:space="preserve">Новосибирская область, Купинский район, г. Купино, ул. Дорожная, д. 5</w:t>
      </w:r>
      <w:r>
        <w:rPr>
          <w:sz w:val="22"/>
          <w:szCs w:val="22"/>
        </w:rPr>
        <w:t xml:space="preserve">».</w:t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rPr>
          <w:sz w:val="22"/>
          <w:szCs w:val="22"/>
          <w14:ligatures w14:val="none"/>
        </w:rPr>
      </w:pPr>
      <w:r>
        <w:rPr>
          <w:sz w:val="22"/>
          <w:szCs w:val="22"/>
        </w:rPr>
        <w:t xml:space="preserve">Собственник имущества – Новосибирская область.</w:t>
      </w:r>
      <w:r>
        <w:rPr>
          <w:sz w:val="22"/>
          <w:szCs w:val="22"/>
        </w:rPr>
        <w:tab/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rPr>
          <w:sz w:val="22"/>
          <w:szCs w:val="22"/>
          <w14:ligatures w14:val="none"/>
        </w:rPr>
      </w:pPr>
      <w:r>
        <w:rPr>
          <w:sz w:val="22"/>
          <w:szCs w:val="22"/>
        </w:rPr>
        <w:t xml:space="preserve"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</w:t>
      </w:r>
      <w:r>
        <w:rPr>
          <w:sz w:val="22"/>
          <w:szCs w:val="22"/>
        </w:rPr>
        <w:t xml:space="preserve">Ограничений в пользовании не имеется.</w:t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ind w:firstLine="708"/>
        <w:spacing w:before="0"/>
        <w:tabs>
          <w:tab w:val="clear" w:pos="4677" w:leader="none"/>
          <w:tab w:val="clear" w:pos="9355" w:leader="none"/>
        </w:tabs>
        <w:rPr>
          <w:sz w:val="22"/>
          <w:szCs w:val="22"/>
        </w:rPr>
      </w:pPr>
      <w:r>
        <w:rPr>
          <w:sz w:val="22"/>
          <w:szCs w:val="22"/>
        </w:rPr>
        <w:t xml:space="preserve">На</w:t>
      </w:r>
      <w:r>
        <w:rPr>
          <w:sz w:val="22"/>
          <w:szCs w:val="22"/>
        </w:rPr>
        <w:t xml:space="preserve">чальная цена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продажи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имущества</w:t>
      </w:r>
      <w:r>
        <w:rPr>
          <w:sz w:val="22"/>
          <w:szCs w:val="22"/>
        </w:rPr>
        <w:t xml:space="preserve"> – </w:t>
      </w:r>
      <w:r>
        <w:rPr>
          <w:sz w:val="22"/>
          <w:szCs w:val="22"/>
        </w:rPr>
        <w:t xml:space="preserve">873 000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рублей</w:t>
      </w:r>
      <w:r>
        <w:rPr>
          <w:sz w:val="22"/>
          <w:szCs w:val="22"/>
        </w:rPr>
        <w:t xml:space="preserve"> с учётом НДС</w:t>
      </w:r>
      <w:r>
        <w:rPr>
          <w:b w:val="0"/>
          <w:bCs w:val="0"/>
          <w:sz w:val="22"/>
          <w:szCs w:val="22"/>
        </w:rPr>
        <w:t xml:space="preserve">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Размер задатка</w:t>
      </w:r>
      <w:r>
        <w:rPr>
          <w:b w:val="0"/>
          <w:bCs w:val="0"/>
          <w:sz w:val="22"/>
          <w:szCs w:val="22"/>
        </w:rPr>
        <w:t xml:space="preserve"> – </w:t>
      </w:r>
      <w:r>
        <w:rPr>
          <w:b w:val="0"/>
          <w:bCs w:val="0"/>
          <w:sz w:val="22"/>
          <w:szCs w:val="22"/>
        </w:rPr>
        <w:t xml:space="preserve">87 300 </w:t>
      </w:r>
      <w:r>
        <w:rPr>
          <w:b w:val="0"/>
          <w:bCs w:val="0"/>
          <w:sz w:val="22"/>
          <w:szCs w:val="22"/>
        </w:rPr>
        <w:t xml:space="preserve">рублей</w:t>
      </w:r>
      <w:r>
        <w:rPr>
          <w:b w:val="0"/>
          <w:bCs w:val="0"/>
          <w:sz w:val="22"/>
          <w:szCs w:val="22"/>
        </w:rPr>
        <w:t xml:space="preserve">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Величина повышения начальной цены («шаг аукциона»): –</w:t>
      </w:r>
      <w:r>
        <w:rPr>
          <w:b w:val="0"/>
          <w:bCs w:val="0"/>
          <w:sz w:val="22"/>
          <w:szCs w:val="22"/>
        </w:rPr>
        <w:t xml:space="preserve"> 43 650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рублей</w:t>
      </w:r>
      <w:r>
        <w:rPr>
          <w:b w:val="0"/>
          <w:bCs w:val="0"/>
          <w:sz w:val="22"/>
          <w:szCs w:val="22"/>
        </w:rPr>
        <w:t xml:space="preserve">. 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89"/>
        <w:ind w:firstLine="709"/>
        <w:tabs>
          <w:tab w:val="left" w:pos="284" w:leader="none"/>
        </w:tabs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Средства платежа</w:t>
      </w:r>
      <w:r>
        <w:rPr>
          <w:b w:val="0"/>
          <w:bCs w:val="0"/>
          <w:sz w:val="22"/>
          <w:szCs w:val="22"/>
        </w:rPr>
        <w:t xml:space="preserve">: денежные средства в валюте Российской Федерации (рубли).</w:t>
      </w:r>
      <w:r>
        <w:rPr>
          <w:b w:val="0"/>
          <w:bCs w:val="0"/>
          <w:sz w:val="22"/>
          <w:szCs w:val="22"/>
        </w:rPr>
      </w:r>
      <w:r>
        <w:rPr>
          <w:b w:val="0"/>
          <w:bCs w:val="0"/>
          <w:sz w:val="22"/>
          <w:szCs w:val="22"/>
        </w:rPr>
      </w:r>
    </w:p>
    <w:p>
      <w:pPr>
        <w:pStyle w:val="889"/>
        <w:ind w:firstLine="709"/>
        <w:tabs>
          <w:tab w:val="left" w:pos="284" w:leader="none"/>
        </w:tabs>
        <w:rPr>
          <w:b w:val="0"/>
          <w:bCs w:val="0"/>
          <w:sz w:val="22"/>
          <w:szCs w:val="22"/>
          <w:highlight w:val="none"/>
        </w:rPr>
      </w:pPr>
      <w:r>
        <w:rPr>
          <w:b w:val="0"/>
          <w:bCs w:val="0"/>
          <w:sz w:val="22"/>
          <w:szCs w:val="22"/>
        </w:rPr>
      </w:r>
      <w:r>
        <w:rPr>
          <w:b w:val="0"/>
          <w:bCs w:val="0"/>
          <w:sz w:val="22"/>
          <w:szCs w:val="22"/>
        </w:rPr>
        <w:t xml:space="preserve">Сведения о предыдущих торгах по продаже имущества, объявленных в течение года, предшествующего продаже, и об итогах торгов по продаже имущества</w:t>
      </w:r>
      <w:r>
        <w:rPr>
          <w:b w:val="0"/>
          <w:bCs w:val="0"/>
          <w:sz w:val="22"/>
          <w:szCs w:val="22"/>
        </w:rPr>
        <w:t xml:space="preserve">: </w:t>
      </w:r>
      <w:r>
        <w:rPr>
          <w:b w:val="0"/>
          <w:bCs w:val="0"/>
          <w:sz w:val="22"/>
          <w:szCs w:val="22"/>
        </w:rPr>
        <w:t xml:space="preserve">имущество выставлялось на продажу один раз в 2025 году. Торги признаны не состоявшимися в связи с отсутствием заявок.</w:t>
      </w:r>
      <w:r>
        <w:rPr>
          <w:b w:val="0"/>
          <w:bCs w:val="0"/>
          <w:sz w:val="22"/>
          <w:szCs w:val="22"/>
          <w:highlight w:val="none"/>
        </w:rPr>
      </w:r>
      <w:r>
        <w:rPr>
          <w:b w:val="0"/>
          <w:bCs w:val="0"/>
          <w:sz w:val="22"/>
          <w:szCs w:val="22"/>
          <w:highlight w:val="none"/>
        </w:rPr>
      </w:r>
    </w:p>
    <w:p>
      <w:pPr>
        <w:pStyle w:val="889"/>
        <w:ind w:firstLine="709"/>
        <w:tabs>
          <w:tab w:val="left" w:pos="284" w:leader="none"/>
          <w:tab w:val="clear" w:pos="4153" w:leader="none"/>
          <w:tab w:val="clear" w:pos="8306" w:leader="none"/>
        </w:tabs>
        <w:rPr>
          <w:b w:val="0"/>
          <w:bCs w:val="0"/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</w:rPr>
        <w:t xml:space="preserve">Приватизация</w:t>
      </w:r>
      <w:r>
        <w:rPr>
          <w:b w:val="0"/>
          <w:bCs w:val="0"/>
          <w:sz w:val="22"/>
          <w:szCs w:val="22"/>
        </w:rPr>
        <w:t xml:space="preserve"> имущества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осуществляется одновременно с отчуж</w:t>
      </w:r>
      <w:r>
        <w:rPr>
          <w:b w:val="0"/>
          <w:bCs w:val="0"/>
          <w:sz w:val="22"/>
          <w:szCs w:val="22"/>
        </w:rPr>
        <w:t xml:space="preserve">дением лицу, приобретающему это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и</w:t>
      </w:r>
      <w:r>
        <w:rPr>
          <w:b w:val="0"/>
          <w:bCs w:val="0"/>
          <w:sz w:val="22"/>
          <w:szCs w:val="22"/>
        </w:rPr>
        <w:t xml:space="preserve">мущество</w:t>
      </w:r>
      <w:r>
        <w:rPr>
          <w:b w:val="0"/>
          <w:bCs w:val="0"/>
          <w:sz w:val="22"/>
          <w:szCs w:val="22"/>
        </w:rPr>
        <w:t xml:space="preserve">, земельного участка, занимаемого этим </w:t>
      </w:r>
      <w:r>
        <w:rPr>
          <w:b w:val="0"/>
          <w:bCs w:val="0"/>
          <w:sz w:val="22"/>
          <w:szCs w:val="22"/>
        </w:rPr>
        <w:t xml:space="preserve">имуществом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и необходимого для его использования:</w:t>
      </w:r>
      <w:r>
        <w:rPr>
          <w:b w:val="0"/>
          <w:bCs w:val="0"/>
          <w:sz w:val="22"/>
          <w:szCs w:val="22"/>
          <w14:ligatures w14:val="none"/>
        </w:rPr>
      </w:r>
      <w:r>
        <w:rPr>
          <w:b w:val="0"/>
          <w:bCs w:val="0"/>
          <w:sz w:val="22"/>
          <w:szCs w:val="22"/>
          <w14:ligatures w14:val="none"/>
        </w:rPr>
      </w:r>
    </w:p>
    <w:p>
      <w:pPr>
        <w:pStyle w:val="889"/>
        <w:ind w:firstLine="709"/>
        <w:tabs>
          <w:tab w:val="left" w:pos="284" w:leader="none"/>
          <w:tab w:val="clear" w:pos="4153" w:leader="none"/>
          <w:tab w:val="clear" w:pos="8306" w:leader="none"/>
        </w:tabs>
        <w:rPr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</w:rPr>
        <w:t xml:space="preserve">Земельный участок</w:t>
      </w:r>
      <w:r>
        <w:rPr>
          <w:b w:val="0"/>
          <w:bCs w:val="0"/>
          <w:sz w:val="22"/>
          <w:szCs w:val="22"/>
        </w:rPr>
        <w:t xml:space="preserve">, площадь 1847</w:t>
      </w:r>
      <w:r>
        <w:rPr>
          <w:b w:val="0"/>
          <w:bCs w:val="0"/>
          <w:sz w:val="22"/>
          <w:szCs w:val="22"/>
        </w:rPr>
        <w:t xml:space="preserve"> кв.м.,</w:t>
      </w:r>
      <w:r>
        <w:rPr>
          <w:b w:val="0"/>
          <w:bCs w:val="0"/>
          <w:sz w:val="22"/>
          <w:szCs w:val="22"/>
        </w:rPr>
        <w:t xml:space="preserve"> категория земель: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земли насел</w:t>
      </w:r>
      <w:r>
        <w:rPr>
          <w:b w:val="0"/>
          <w:bCs w:val="0"/>
          <w:sz w:val="22"/>
          <w:szCs w:val="22"/>
        </w:rPr>
        <w:t xml:space="preserve">ё</w:t>
      </w:r>
      <w:r>
        <w:rPr>
          <w:b w:val="0"/>
          <w:bCs w:val="0"/>
          <w:sz w:val="22"/>
          <w:szCs w:val="22"/>
        </w:rPr>
        <w:t xml:space="preserve">нных пунктов</w:t>
      </w:r>
      <w:r>
        <w:rPr>
          <w:b w:val="0"/>
          <w:bCs w:val="0"/>
          <w:sz w:val="22"/>
          <w:szCs w:val="22"/>
        </w:rPr>
        <w:t xml:space="preserve">, к</w:t>
      </w:r>
      <w:r>
        <w:rPr>
          <w:b w:val="0"/>
          <w:bCs w:val="0"/>
          <w:sz w:val="22"/>
          <w:szCs w:val="22"/>
        </w:rPr>
        <w:t xml:space="preserve">адастровый</w:t>
      </w:r>
      <w:r>
        <w:rPr>
          <w:b w:val="0"/>
          <w:bCs w:val="0"/>
          <w:sz w:val="22"/>
          <w:szCs w:val="22"/>
        </w:rPr>
        <w:t xml:space="preserve"> номер: 54:15:010302:4</w:t>
      </w:r>
      <w:r>
        <w:rPr>
          <w:b w:val="0"/>
          <w:bCs w:val="0"/>
          <w:sz w:val="22"/>
          <w:szCs w:val="22"/>
        </w:rPr>
        <w:t xml:space="preserve">.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Местоположение установлено относительно ориентира, расположенного в границах участка. Почтовый адрес ориентира: Новосибирская область, Купинский район, город Купино, улица Дорожная, дом 5</w:t>
      </w:r>
      <w:r>
        <w:rPr>
          <w:b w:val="0"/>
          <w:bCs w:val="0"/>
          <w:sz w:val="22"/>
          <w:szCs w:val="22"/>
        </w:rPr>
        <w:t xml:space="preserve">.</w:t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89"/>
        <w:ind w:firstLine="709"/>
        <w:tabs>
          <w:tab w:val="left" w:pos="284" w:leader="none"/>
          <w:tab w:val="clear" w:pos="4153" w:leader="none"/>
          <w:tab w:val="clear" w:pos="8306" w:leader="none"/>
        </w:tabs>
      </w:pPr>
      <w:r>
        <w:rPr>
          <w:b w:val="0"/>
          <w:bCs w:val="0"/>
          <w:sz w:val="22"/>
          <w:szCs w:val="22"/>
        </w:rPr>
        <w:t xml:space="preserve">Цена выкупа указанного земельного участка 279 000 </w:t>
      </w:r>
      <w:r>
        <w:rPr>
          <w:b w:val="0"/>
          <w:bCs w:val="0"/>
          <w:sz w:val="22"/>
          <w:szCs w:val="22"/>
        </w:rPr>
        <w:t xml:space="preserve">(</w:t>
      </w:r>
      <w:r>
        <w:rPr>
          <w:b w:val="0"/>
          <w:bCs w:val="0"/>
          <w:sz w:val="22"/>
          <w:szCs w:val="22"/>
        </w:rPr>
        <w:t xml:space="preserve">Двести семьдесят девять тысяч)</w:t>
      </w:r>
      <w:r>
        <w:rPr>
          <w:b w:val="0"/>
          <w:bCs w:val="0"/>
          <w:sz w:val="22"/>
          <w:szCs w:val="22"/>
        </w:rPr>
        <w:t xml:space="preserve"> рубл</w:t>
      </w:r>
      <w:r>
        <w:rPr>
          <w:b w:val="0"/>
          <w:bCs w:val="0"/>
          <w:sz w:val="22"/>
          <w:szCs w:val="22"/>
        </w:rPr>
        <w:t xml:space="preserve">ей без учёта </w:t>
      </w:r>
      <w:r>
        <w:rPr>
          <w:b w:val="0"/>
          <w:bCs w:val="0"/>
          <w:sz w:val="22"/>
          <w:szCs w:val="22"/>
        </w:rPr>
        <w:t xml:space="preserve">налога на добавленную стоимость</w:t>
      </w:r>
      <w:r>
        <w:t xml:space="preserve">.</w:t>
      </w:r>
      <w:r/>
    </w:p>
    <w:p>
      <w:pPr>
        <w:pStyle w:val="890"/>
        <w:ind w:firstLine="720"/>
        <w:jc w:val="both"/>
        <w:tabs>
          <w:tab w:val="left" w:pos="708" w:leader="none"/>
        </w:tabs>
        <w:rPr>
          <w:b/>
          <w:bCs/>
          <w:i/>
          <w:sz w:val="22"/>
          <w:szCs w:val="22"/>
          <w:highlight w:val="none"/>
        </w:rPr>
      </w:pPr>
      <w:r>
        <w:rPr>
          <w:b/>
          <w:bCs/>
          <w:i/>
          <w:sz w:val="22"/>
          <w:szCs w:val="22"/>
        </w:rPr>
        <w:t xml:space="preserve">Земельный участок не входит в состав лота. Победитель аукциона либо лицо, признанное единственным участником аукци</w:t>
      </w:r>
      <w:r>
        <w:rPr>
          <w:b/>
          <w:bCs/>
          <w:i/>
          <w:sz w:val="22"/>
          <w:szCs w:val="22"/>
        </w:rPr>
        <w:t xml:space="preserve">она, в случае, установленном в п. 3 ст. 18 Федерального закона от 21.12.2001 № 178-ФЗ «О приватизации государственного и муниципального имущества», обязан заключить договор купли-продажи земельного участка одновременно с договором купли-продажи имущества. </w:t>
      </w:r>
      <w:r>
        <w:rPr>
          <w:b/>
          <w:bCs/>
          <w:i/>
          <w:sz w:val="22"/>
          <w:szCs w:val="22"/>
          <w:highlight w:val="none"/>
        </w:rPr>
      </w:r>
      <w:r>
        <w:rPr>
          <w:b/>
          <w:bCs/>
          <w:i/>
          <w:sz w:val="22"/>
          <w:szCs w:val="22"/>
          <w:highlight w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</w:rPr>
      </w:pPr>
      <w:r>
        <w:rPr>
          <w:sz w:val="22"/>
          <w:szCs w:val="22"/>
          <w:highlight w:val="none"/>
        </w:rPr>
        <w:t xml:space="preserve">Сведен</w:t>
      </w:r>
      <w:r>
        <w:rPr>
          <w:sz w:val="22"/>
          <w:szCs w:val="22"/>
          <w:highlight w:val="none"/>
        </w:rPr>
        <w:t xml:space="preserve">ия об установлении обременения имущества публичным сервитутом и (или) ограничениями, предусмотренными Федеральным законом от 21.12.2001 № 178-ФЗ «О приватизации государственного и муниципального имущества» и (или) иными федеральными законами – отсутствуют.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</w:rPr>
      </w:pPr>
      <w:r>
        <w:rPr>
          <w:sz w:val="22"/>
          <w:szCs w:val="22"/>
          <w:highlight w:val="none"/>
        </w:rPr>
        <w:t xml:space="preserve">Условия конкурса, формы и сроки их выполнения – отсутствуют.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74"/>
        <w:spacing w:before="0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ind w:firstLine="709"/>
        <w:jc w:val="both"/>
        <w:tabs>
          <w:tab w:val="left" w:pos="284" w:leader="none"/>
        </w:tabs>
        <w:rPr>
          <w:b/>
          <w:bCs/>
          <w:i/>
          <w:iCs/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3. Лот № 3:</w:t>
      </w:r>
      <w:r>
        <w:rPr>
          <w:sz w:val="22"/>
          <w:szCs w:val="22"/>
          <w:highlight w:val="none"/>
        </w:rPr>
        <w:t xml:space="preserve"> </w:t>
      </w:r>
      <w:r>
        <w:rPr>
          <w:b/>
          <w:bCs/>
          <w:i/>
          <w:iCs/>
          <w:sz w:val="22"/>
          <w:szCs w:val="22"/>
          <w:highlight w:val="none"/>
        </w:rPr>
        <w:t xml:space="preserve">Помещение</w:t>
      </w:r>
      <w:r>
        <w:rPr>
          <w:b/>
          <w:bCs/>
          <w:i/>
          <w:iCs/>
          <w:sz w:val="22"/>
          <w:szCs w:val="22"/>
          <w:highlight w:val="none"/>
        </w:rPr>
        <w:t xml:space="preserve">,</w:t>
      </w:r>
      <w:r>
        <w:rPr>
          <w:b/>
          <w:bCs/>
          <w:i/>
          <w:iCs/>
          <w:sz w:val="22"/>
          <w:szCs w:val="22"/>
          <w:highlight w:val="none"/>
        </w:rPr>
        <w:t xml:space="preserve"> площадь </w:t>
      </w:r>
      <w:r>
        <w:rPr>
          <w:b/>
          <w:bCs/>
          <w:i/>
          <w:iCs/>
          <w:sz w:val="22"/>
          <w:szCs w:val="22"/>
          <w:highlight w:val="none"/>
        </w:rPr>
        <w:t xml:space="preserve">154,5</w:t>
      </w:r>
      <w:r>
        <w:rPr>
          <w:b/>
          <w:bCs/>
          <w:i/>
          <w:iCs/>
          <w:sz w:val="22"/>
          <w:szCs w:val="22"/>
          <w:highlight w:val="none"/>
        </w:rPr>
        <w:t xml:space="preserve"> </w:t>
      </w:r>
      <w:r>
        <w:rPr>
          <w:b/>
          <w:bCs/>
          <w:i/>
          <w:iCs/>
          <w:sz w:val="22"/>
          <w:szCs w:val="22"/>
          <w:highlight w:val="none"/>
        </w:rPr>
        <w:t xml:space="preserve">кв.м., </w:t>
      </w:r>
      <w:r>
        <w:rPr>
          <w:b/>
          <w:bCs/>
          <w:i/>
          <w:iCs/>
          <w:sz w:val="22"/>
          <w:szCs w:val="22"/>
          <w:highlight w:val="none"/>
        </w:rPr>
        <w:t xml:space="preserve">назначение: нежилое</w:t>
      </w:r>
      <w:r>
        <w:rPr>
          <w:b/>
          <w:bCs/>
          <w:i/>
          <w:iCs/>
          <w:sz w:val="22"/>
          <w:szCs w:val="22"/>
          <w:highlight w:val="none"/>
        </w:rPr>
        <w:t xml:space="preserve"> помещение</w:t>
      </w:r>
      <w:r>
        <w:rPr>
          <w:b/>
          <w:bCs/>
          <w:i/>
          <w:iCs/>
          <w:sz w:val="22"/>
          <w:szCs w:val="22"/>
          <w:highlight w:val="none"/>
        </w:rPr>
        <w:t xml:space="preserve">,</w:t>
      </w:r>
      <w:r>
        <w:rPr>
          <w:b/>
          <w:bCs/>
          <w:i/>
          <w:iCs/>
          <w:sz w:val="22"/>
          <w:szCs w:val="22"/>
          <w:highlight w:val="none"/>
        </w:rPr>
        <w:t xml:space="preserve"> </w:t>
      </w:r>
      <w:r>
        <w:rPr>
          <w:b/>
          <w:bCs/>
          <w:i/>
          <w:iCs/>
          <w:sz w:val="22"/>
          <w:szCs w:val="22"/>
          <w:highlight w:val="none"/>
        </w:rPr>
        <w:t xml:space="preserve">кадастровый номер: 54:3</w:t>
      </w:r>
      <w:r>
        <w:rPr>
          <w:b/>
          <w:bCs/>
          <w:i/>
          <w:iCs/>
          <w:sz w:val="22"/>
          <w:szCs w:val="22"/>
          <w:highlight w:val="none"/>
        </w:rPr>
        <w:t xml:space="preserve">0</w:t>
      </w:r>
      <w:r>
        <w:rPr>
          <w:b/>
          <w:bCs/>
          <w:i/>
          <w:iCs/>
          <w:sz w:val="22"/>
          <w:szCs w:val="22"/>
          <w:highlight w:val="none"/>
        </w:rPr>
        <w:t xml:space="preserve">:</w:t>
      </w:r>
      <w:r>
        <w:rPr>
          <w:b/>
          <w:bCs/>
          <w:i/>
          <w:iCs/>
          <w:sz w:val="22"/>
          <w:szCs w:val="22"/>
          <w:highlight w:val="none"/>
        </w:rPr>
        <w:t xml:space="preserve">010124</w:t>
      </w:r>
      <w:r>
        <w:rPr>
          <w:b/>
          <w:bCs/>
          <w:i/>
          <w:iCs/>
          <w:sz w:val="22"/>
          <w:szCs w:val="22"/>
          <w:highlight w:val="none"/>
        </w:rPr>
        <w:t xml:space="preserve">:</w:t>
      </w:r>
      <w:r>
        <w:rPr>
          <w:b/>
          <w:bCs/>
          <w:i/>
          <w:iCs/>
          <w:sz w:val="22"/>
          <w:szCs w:val="22"/>
          <w:highlight w:val="none"/>
        </w:rPr>
        <w:t xml:space="preserve">470</w:t>
      </w:r>
      <w:r>
        <w:rPr>
          <w:b/>
          <w:bCs/>
          <w:i/>
          <w:iCs/>
          <w:sz w:val="22"/>
          <w:szCs w:val="22"/>
          <w:highlight w:val="none"/>
        </w:rPr>
        <w:t xml:space="preserve">, расположенн</w:t>
      </w:r>
      <w:r>
        <w:rPr>
          <w:b/>
          <w:bCs/>
          <w:i/>
          <w:iCs/>
          <w:sz w:val="22"/>
          <w:szCs w:val="22"/>
          <w:highlight w:val="none"/>
        </w:rPr>
        <w:t xml:space="preserve">ое</w:t>
      </w:r>
      <w:r>
        <w:rPr>
          <w:b/>
          <w:bCs/>
          <w:i/>
          <w:iCs/>
          <w:sz w:val="22"/>
          <w:szCs w:val="22"/>
          <w:highlight w:val="none"/>
        </w:rPr>
        <w:t xml:space="preserve"> по адресу: </w:t>
      </w:r>
      <w:r>
        <w:rPr>
          <w:b/>
          <w:bCs/>
          <w:i/>
          <w:iCs/>
          <w:sz w:val="22"/>
          <w:szCs w:val="22"/>
          <w:highlight w:val="none"/>
        </w:rPr>
        <w:t xml:space="preserve">Новосибирская область, </w:t>
      </w:r>
      <w:r>
        <w:rPr>
          <w:b/>
          <w:bCs/>
          <w:i/>
          <w:iCs/>
          <w:sz w:val="22"/>
          <w:szCs w:val="22"/>
          <w:highlight w:val="none"/>
        </w:rPr>
        <w:t xml:space="preserve">Чулымский район, город Чулым, улица Чулымская, дом 20</w:t>
      </w:r>
      <w:r>
        <w:rPr>
          <w:b/>
          <w:bCs/>
          <w:i/>
          <w:iCs/>
          <w:sz w:val="22"/>
          <w:szCs w:val="22"/>
          <w:highlight w:val="none"/>
        </w:rPr>
        <w:t xml:space="preserve">.</w:t>
      </w:r>
      <w:r>
        <w:rPr>
          <w:b/>
          <w:bCs/>
          <w:i/>
          <w:iCs/>
          <w:sz w:val="22"/>
          <w:szCs w:val="22"/>
          <w:highlight w:val="none"/>
          <w14:ligatures w14:val="none"/>
        </w:rPr>
      </w:r>
      <w:r>
        <w:rPr>
          <w:b/>
          <w:bCs/>
          <w:i/>
          <w:iCs/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153" w:leader="none"/>
          <w:tab w:val="clear" w:pos="8306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  <w:t xml:space="preserve">Решение об условиях приватизации принято приказом департамента имущества и земельных отношений Новосибирской области от 26.02.2025 № 675 «</w:t>
      </w:r>
      <w:r>
        <w:rPr>
          <w:sz w:val="22"/>
          <w:szCs w:val="22"/>
          <w:highlight w:val="none"/>
        </w:rPr>
        <w:t xml:space="preserve">Об условиях приватизации </w:t>
      </w:r>
      <w:r>
        <w:rPr>
          <w:sz w:val="22"/>
          <w:szCs w:val="22"/>
          <w:highlight w:val="none"/>
        </w:rPr>
        <w:t xml:space="preserve">находящегося в государственной собственности</w:t>
      </w:r>
      <w:r>
        <w:rPr>
          <w:sz w:val="22"/>
          <w:szCs w:val="22"/>
          <w:highlight w:val="none"/>
        </w:rPr>
        <w:t xml:space="preserve"> Новосибирской области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имущества, расположенного по адресу: </w:t>
      </w:r>
      <w:r>
        <w:rPr>
          <w:sz w:val="22"/>
          <w:szCs w:val="22"/>
          <w:highlight w:val="none"/>
        </w:rPr>
        <w:t xml:space="preserve">Новосибирская область, </w:t>
      </w:r>
      <w:r>
        <w:rPr>
          <w:sz w:val="22"/>
          <w:szCs w:val="22"/>
          <w:highlight w:val="none"/>
        </w:rPr>
        <w:t xml:space="preserve">Чулымский район, город Чулым, улица Чулымская, дом 20</w:t>
      </w:r>
      <w:r>
        <w:rPr>
          <w:sz w:val="22"/>
          <w:szCs w:val="22"/>
          <w:highlight w:val="none"/>
        </w:rPr>
        <w:t xml:space="preserve">».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Собственник имущества – Новосибирская область.</w:t>
      </w:r>
      <w:r>
        <w:rPr>
          <w:sz w:val="22"/>
          <w:szCs w:val="22"/>
          <w:highlight w:val="none"/>
        </w:rPr>
        <w:tab/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</w:t>
      </w:r>
      <w:r>
        <w:rPr>
          <w:sz w:val="22"/>
          <w:szCs w:val="22"/>
          <w:highlight w:val="none"/>
        </w:rPr>
        <w:t xml:space="preserve">Ограничений в пользовании не имеется.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На</w:t>
      </w:r>
      <w:r>
        <w:rPr>
          <w:sz w:val="22"/>
          <w:szCs w:val="22"/>
          <w:highlight w:val="none"/>
        </w:rPr>
        <w:t xml:space="preserve">чальная цена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продажи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имущества</w:t>
      </w:r>
      <w:r>
        <w:rPr>
          <w:sz w:val="22"/>
          <w:szCs w:val="22"/>
          <w:highlight w:val="none"/>
        </w:rPr>
        <w:t xml:space="preserve"> – 1 798 000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 с учётом НДС.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Размер задатка</w:t>
      </w:r>
      <w:r>
        <w:rPr>
          <w:sz w:val="22"/>
          <w:szCs w:val="22"/>
          <w:highlight w:val="none"/>
        </w:rPr>
        <w:t xml:space="preserve"> – </w:t>
      </w:r>
      <w:r>
        <w:rPr>
          <w:sz w:val="22"/>
          <w:szCs w:val="22"/>
          <w:highlight w:val="none"/>
        </w:rPr>
        <w:t xml:space="preserve">179 800 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Величина повышения начальной цены («шаг аукциона»): –</w:t>
      </w:r>
      <w:r>
        <w:rPr>
          <w:sz w:val="22"/>
          <w:szCs w:val="22"/>
          <w:highlight w:val="none"/>
        </w:rPr>
        <w:t xml:space="preserve"> 89 900 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. 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Средства платежа</w:t>
      </w:r>
      <w:r>
        <w:rPr>
          <w:sz w:val="22"/>
          <w:szCs w:val="22"/>
          <w:highlight w:val="none"/>
        </w:rPr>
        <w:t xml:space="preserve">: денежные средства в валюте Российской Федерации (рубли).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  <w:t xml:space="preserve">Сведения о предыдущих торгах по продаже имущества, объявленных в течение года, предшествующего продаже, и об итогах торгов по продаже имущества</w:t>
      </w:r>
      <w:r>
        <w:rPr>
          <w:sz w:val="22"/>
          <w:szCs w:val="22"/>
          <w:highlight w:val="none"/>
        </w:rPr>
        <w:t xml:space="preserve">: </w:t>
      </w:r>
      <w:r>
        <w:rPr>
          <w:sz w:val="22"/>
          <w:szCs w:val="22"/>
          <w:highlight w:val="none"/>
        </w:rPr>
        <w:t xml:space="preserve">имущество выставлялось на продажу пять раз в 2024 году, один раз в 2025 году. Торги признаны не состоявшимися в связи с отсутствием заявок.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Сведен</w:t>
      </w:r>
      <w:r>
        <w:rPr>
          <w:sz w:val="22"/>
          <w:szCs w:val="22"/>
          <w:highlight w:val="none"/>
        </w:rPr>
        <w:t xml:space="preserve">ия об установлении обременения имущества публичным сервитутом и (или) ограничениями, предусмотренными Федеральным законом от 21.12.2001 № 178-ФЗ «О приватизации государственного и муниципального имущества» и (или) иными федеральными законами – отсутствуют.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Условия конкурса, формы и сроки их выполнения – отсутствуют.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b/>
          <w:bCs/>
          <w:i/>
          <w:iCs/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4. Лот № 4:</w:t>
      </w:r>
      <w:r>
        <w:rPr>
          <w:sz w:val="22"/>
          <w:szCs w:val="22"/>
          <w:highlight w:val="none"/>
        </w:rPr>
        <w:t xml:space="preserve"> </w:t>
      </w:r>
      <w:r>
        <w:rPr>
          <w:b/>
          <w:bCs/>
          <w:i/>
          <w:iCs/>
          <w:sz w:val="22"/>
          <w:szCs w:val="22"/>
          <w:highlight w:val="none"/>
        </w:rPr>
        <w:t xml:space="preserve">По</w:t>
      </w:r>
      <w:r>
        <w:rPr>
          <w:b/>
          <w:bCs/>
          <w:i/>
          <w:iCs/>
          <w:sz w:val="22"/>
          <w:szCs w:val="22"/>
          <w:highlight w:val="none"/>
        </w:rPr>
        <w:t xml:space="preserve">мещение, площадь 318,1 </w:t>
      </w:r>
      <w:r>
        <w:rPr>
          <w:b/>
          <w:bCs/>
          <w:i/>
          <w:iCs/>
          <w:sz w:val="22"/>
          <w:szCs w:val="22"/>
          <w:highlight w:val="none"/>
        </w:rPr>
        <w:t xml:space="preserve">кв.м</w:t>
      </w:r>
      <w:r>
        <w:rPr>
          <w:b/>
          <w:bCs/>
          <w:i/>
          <w:iCs/>
          <w:sz w:val="22"/>
          <w:szCs w:val="22"/>
          <w:highlight w:val="none"/>
        </w:rPr>
        <w:t xml:space="preserve">., назначение: нежилое помещение, кадастровый номер: 54:35:101100:1193, расположенное по адресу: Новосибирская область, город Новосибирск, Красный проспект, дом 69</w:t>
      </w:r>
      <w:r>
        <w:rPr>
          <w:b/>
          <w:bCs/>
          <w:i/>
          <w:iCs/>
          <w:sz w:val="22"/>
          <w:szCs w:val="22"/>
          <w:highlight w:val="none"/>
        </w:rPr>
        <w:t xml:space="preserve">.</w:t>
      </w:r>
      <w:r>
        <w:rPr>
          <w:b/>
          <w:bCs/>
          <w:i/>
          <w:iCs/>
          <w:sz w:val="22"/>
          <w:szCs w:val="22"/>
          <w:highlight w:val="none"/>
          <w14:ligatures w14:val="none"/>
        </w:rPr>
      </w:r>
      <w:r>
        <w:rPr>
          <w:b/>
          <w:bCs/>
          <w:i/>
          <w:iCs/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  <w:t xml:space="preserve">Решение об условиях приватизации принято приказом департамента имущества и земельных отношений Новосибирской области от 26.02.2025 № 676 «</w:t>
      </w:r>
      <w:r>
        <w:rPr>
          <w:sz w:val="22"/>
          <w:szCs w:val="22"/>
          <w:highlight w:val="none"/>
        </w:rPr>
        <w:t xml:space="preserve">Об условиях приватизации находящегося в государственной собственности Новосибирской области имущества, расположенного по адресу: </w:t>
      </w:r>
      <w:r>
        <w:rPr>
          <w:sz w:val="22"/>
          <w:szCs w:val="22"/>
          <w:highlight w:val="none"/>
        </w:rPr>
        <w:t xml:space="preserve">г. Новосибирск, Красный проспект, д. 69</w:t>
      </w:r>
      <w:r>
        <w:rPr>
          <w:sz w:val="22"/>
          <w:szCs w:val="22"/>
          <w:highlight w:val="none"/>
        </w:rPr>
        <w:t xml:space="preserve">».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Собственник имущества – Новосибирская область.</w:t>
      </w:r>
      <w:r>
        <w:rPr>
          <w:sz w:val="22"/>
          <w:szCs w:val="22"/>
          <w:highlight w:val="none"/>
        </w:rPr>
        <w:tab/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yellow"/>
          <w14:ligatures w14:val="none"/>
        </w:rPr>
      </w:pPr>
      <w:r>
        <w:rPr>
          <w:sz w:val="22"/>
          <w:szCs w:val="22"/>
          <w:highlight w:val="white"/>
        </w:rPr>
        <w:t xml:space="preserve">Сведения о наличии в отношении имущества обременения, сохраняемого при переходе прав на указанное имущество: </w:t>
      </w:r>
      <w:r>
        <w:rPr>
          <w:sz w:val="22"/>
          <w:szCs w:val="22"/>
          <w:highlight w:val="white"/>
        </w:rPr>
        <w:t xml:space="preserve">а</w:t>
      </w:r>
      <w:r>
        <w:rPr>
          <w:sz w:val="22"/>
          <w:szCs w:val="22"/>
          <w:highlight w:val="none"/>
        </w:rPr>
        <w:t xml:space="preserve">ренда с ИП Устиновым А.Г., ОГРНИП 312554308200130. Срок действия договора с 10.07.2023 по 10.07.2026. Площадь в аренде 102,5 кв.м. Договор аренды нежилых помещений от 10.07.2023 № 32.</w:t>
      </w:r>
      <w:r>
        <w:rPr>
          <w:sz w:val="22"/>
          <w:szCs w:val="22"/>
          <w:highlight w:val="yellow"/>
          <w14:ligatures w14:val="none"/>
        </w:rPr>
      </w:r>
      <w:r>
        <w:rPr>
          <w:sz w:val="22"/>
          <w:szCs w:val="22"/>
          <w:highlight w:val="yellow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На</w:t>
      </w:r>
      <w:r>
        <w:rPr>
          <w:sz w:val="22"/>
          <w:szCs w:val="22"/>
          <w:highlight w:val="none"/>
        </w:rPr>
        <w:t xml:space="preserve">чальная цена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продажи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имущества</w:t>
      </w:r>
      <w:r>
        <w:rPr>
          <w:sz w:val="22"/>
          <w:szCs w:val="22"/>
          <w:highlight w:val="none"/>
        </w:rPr>
        <w:t xml:space="preserve"> – 16 351 000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 с учётом НДС.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Размер задатка</w:t>
      </w:r>
      <w:r>
        <w:rPr>
          <w:sz w:val="22"/>
          <w:szCs w:val="22"/>
          <w:highlight w:val="none"/>
        </w:rPr>
        <w:t xml:space="preserve"> – </w:t>
      </w:r>
      <w:r>
        <w:rPr>
          <w:sz w:val="22"/>
          <w:szCs w:val="22"/>
          <w:highlight w:val="none"/>
        </w:rPr>
        <w:t xml:space="preserve">1 635 100 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Величина повышения начальной цены («шаг аукциона»): –</w:t>
      </w:r>
      <w:r>
        <w:rPr>
          <w:sz w:val="22"/>
          <w:szCs w:val="22"/>
          <w:highlight w:val="none"/>
        </w:rPr>
        <w:t xml:space="preserve"> 817 550 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. 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Средства платежа</w:t>
      </w:r>
      <w:r>
        <w:rPr>
          <w:sz w:val="22"/>
          <w:szCs w:val="22"/>
          <w:highlight w:val="none"/>
        </w:rPr>
        <w:t xml:space="preserve">: денежные средства в валюте Российской Федерации (рубли).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  <w:t xml:space="preserve">Сведения о предыдущих торгах по продаже имущества, объявленных в течение года, предшествующего продаже, и об итогах торгов по продаже имущества</w:t>
      </w:r>
      <w:r>
        <w:rPr>
          <w:sz w:val="22"/>
          <w:szCs w:val="22"/>
          <w:highlight w:val="none"/>
        </w:rPr>
        <w:t xml:space="preserve">: </w:t>
      </w:r>
      <w:r>
        <w:rPr>
          <w:b w:val="0"/>
          <w:bCs w:val="0"/>
          <w:sz w:val="22"/>
          <w:szCs w:val="22"/>
        </w:rPr>
        <w:t xml:space="preserve">имущество выставлялось на продажу один раз в 2025 году. Торги признаны не состоявшимися в связи с отсутствием заявок.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Сведен</w:t>
      </w:r>
      <w:r>
        <w:rPr>
          <w:sz w:val="22"/>
          <w:szCs w:val="22"/>
          <w:highlight w:val="none"/>
        </w:rPr>
        <w:t xml:space="preserve">ия об установлении обременения имущества публичным сервитутом и (или) ограничениями, предусмотренными Федеральным законом от 21.12.2001 № 178-ФЗ «О приватизации государственного и муниципального имущества» и (или) иными федеральными законами – отсутствуют.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Условия конкурса, формы и сроки их выполнения – отсутствуют.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153" w:leader="none"/>
          <w:tab w:val="clear" w:pos="8306" w:leader="none"/>
        </w:tabs>
        <w:rPr>
          <w:b/>
          <w:bCs/>
          <w:i/>
          <w:iCs/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5. Лот № 5:</w:t>
      </w:r>
      <w:r>
        <w:rPr>
          <w:sz w:val="22"/>
          <w:szCs w:val="22"/>
          <w:highlight w:val="none"/>
        </w:rPr>
        <w:t xml:space="preserve"> </w:t>
      </w:r>
      <w:r>
        <w:rPr>
          <w:b/>
          <w:bCs/>
          <w:i/>
          <w:iCs/>
          <w:sz w:val="22"/>
          <w:szCs w:val="22"/>
          <w:highlight w:val="none"/>
        </w:rPr>
        <w:t xml:space="preserve">По</w:t>
      </w:r>
      <w:r>
        <w:rPr>
          <w:b/>
          <w:bCs/>
          <w:i/>
          <w:iCs/>
          <w:sz w:val="22"/>
          <w:szCs w:val="22"/>
          <w:highlight w:val="none"/>
        </w:rPr>
        <w:t xml:space="preserve">мещение, площадь 758,2 </w:t>
      </w:r>
      <w:r>
        <w:rPr>
          <w:b/>
          <w:bCs/>
          <w:i/>
          <w:iCs/>
          <w:sz w:val="22"/>
          <w:szCs w:val="22"/>
          <w:highlight w:val="none"/>
        </w:rPr>
        <w:t xml:space="preserve">кв.м</w:t>
      </w:r>
      <w:r>
        <w:rPr>
          <w:b/>
          <w:bCs/>
          <w:i/>
          <w:iCs/>
          <w:sz w:val="22"/>
          <w:szCs w:val="22"/>
          <w:highlight w:val="none"/>
        </w:rPr>
        <w:t xml:space="preserve">., назначение: нежилое помещение, кадастровый номер: 54:35:101095:1233, расположенное по адресу: Новосибирская область, город Новосибирск, Красный проспект, дом 74</w:t>
      </w:r>
      <w:r>
        <w:rPr>
          <w:b/>
          <w:bCs/>
          <w:i/>
          <w:iCs/>
          <w:sz w:val="22"/>
          <w:szCs w:val="22"/>
          <w:highlight w:val="none"/>
        </w:rPr>
        <w:t xml:space="preserve">.</w:t>
      </w:r>
      <w:r>
        <w:rPr>
          <w:b/>
          <w:bCs/>
          <w:i/>
          <w:iCs/>
          <w:sz w:val="22"/>
          <w:szCs w:val="22"/>
          <w:highlight w:val="none"/>
          <w14:ligatures w14:val="none"/>
        </w:rPr>
      </w:r>
      <w:r>
        <w:rPr>
          <w:b/>
          <w:bCs/>
          <w:i/>
          <w:iCs/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153" w:leader="none"/>
          <w:tab w:val="clear" w:pos="8306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  <w:t xml:space="preserve">Решение об условиях приватизации принято приказом департамента имущества и земельных отношений Новосибирской области от 26.02.2025 № 677 «</w:t>
      </w:r>
      <w:r>
        <w:rPr>
          <w:sz w:val="22"/>
          <w:szCs w:val="22"/>
        </w:rPr>
        <w:t xml:space="preserve">Об условиях приватизации находящегося в государственной собственности Новосибирской области имущества, расположенного по адресу: г. Новосибирск, Красный проспект, д. 74, кадастровый номер 54:35:101095:123</w:t>
      </w:r>
      <w:r>
        <w:rPr>
          <w:sz w:val="22"/>
          <w:szCs w:val="22"/>
        </w:rPr>
        <w:t xml:space="preserve">3</w:t>
      </w:r>
      <w:r>
        <w:rPr>
          <w:sz w:val="22"/>
          <w:szCs w:val="22"/>
          <w:highlight w:val="none"/>
        </w:rPr>
        <w:t xml:space="preserve">».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Собственник имущества – Новосибирская область.</w:t>
      </w:r>
      <w:r>
        <w:rPr>
          <w:sz w:val="22"/>
          <w:szCs w:val="22"/>
          <w:highlight w:val="none"/>
        </w:rPr>
        <w:tab/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</w:t>
      </w:r>
      <w:r>
        <w:rPr>
          <w:sz w:val="22"/>
          <w:szCs w:val="22"/>
          <w:highlight w:val="none"/>
        </w:rPr>
        <w:t xml:space="preserve">Ограничений в пользовании не имеется.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На</w:t>
      </w:r>
      <w:r>
        <w:rPr>
          <w:sz w:val="22"/>
          <w:szCs w:val="22"/>
          <w:highlight w:val="none"/>
        </w:rPr>
        <w:t xml:space="preserve">чальная цена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продажи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имущества</w:t>
      </w:r>
      <w:r>
        <w:rPr>
          <w:sz w:val="22"/>
          <w:szCs w:val="22"/>
          <w:highlight w:val="none"/>
        </w:rPr>
        <w:t xml:space="preserve"> – 42 316 000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 с учётом НДС.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Размер задатка</w:t>
      </w:r>
      <w:r>
        <w:rPr>
          <w:sz w:val="22"/>
          <w:szCs w:val="22"/>
          <w:highlight w:val="none"/>
        </w:rPr>
        <w:t xml:space="preserve"> – </w:t>
      </w:r>
      <w:r>
        <w:rPr>
          <w:sz w:val="22"/>
          <w:szCs w:val="22"/>
          <w:highlight w:val="none"/>
        </w:rPr>
        <w:t xml:space="preserve">4 231 600 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Величина повышения начальной цены («шаг аукциона»): –</w:t>
      </w:r>
      <w:r>
        <w:rPr>
          <w:sz w:val="22"/>
          <w:szCs w:val="22"/>
          <w:highlight w:val="none"/>
        </w:rPr>
        <w:t xml:space="preserve"> 2 115 800 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. 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Средства платежа</w:t>
      </w:r>
      <w:r>
        <w:rPr>
          <w:sz w:val="22"/>
          <w:szCs w:val="22"/>
          <w:highlight w:val="none"/>
        </w:rPr>
        <w:t xml:space="preserve">: денежные средства в валюте Российской Федерации (рубли).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  <w:t xml:space="preserve">Сведения о предыдущих торгах по продаже имущества, объявленных в течение года, предшествующего продаже, и об итогах торгов по продаже имущества</w:t>
      </w:r>
      <w:r>
        <w:rPr>
          <w:sz w:val="22"/>
          <w:szCs w:val="22"/>
          <w:highlight w:val="none"/>
        </w:rPr>
        <w:t xml:space="preserve">: </w:t>
      </w:r>
      <w:r>
        <w:rPr>
          <w:sz w:val="22"/>
          <w:szCs w:val="22"/>
          <w:highlight w:val="none"/>
        </w:rPr>
        <w:t xml:space="preserve">имущество выставлялось на продажу пять раз в 2024 году, один раз в 2025 году. Торги признаны не состоявшимися в связи с отсутствием заявок.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Сведен</w:t>
      </w:r>
      <w:r>
        <w:rPr>
          <w:sz w:val="22"/>
          <w:szCs w:val="22"/>
          <w:highlight w:val="none"/>
        </w:rPr>
        <w:t xml:space="preserve">ия об установлении обременения имущества публичным сервитутом и (или) ограничениями, предусмотренными Федеральным законом от 21.12.2001 № 178-ФЗ «О приватизации государственного и муниципального имущества» и (или) иными федеральными законами – отсутствуют.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Условия конкурса, формы и сроки их выполнения – отсутствуют.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153" w:leader="none"/>
          <w:tab w:val="clear" w:pos="8306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6. Лот № 6:</w:t>
      </w:r>
      <w:r>
        <w:rPr>
          <w:sz w:val="22"/>
          <w:szCs w:val="22"/>
          <w:highlight w:val="none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Помещение</w:t>
      </w:r>
      <w:r>
        <w:rPr>
          <w:b/>
          <w:bCs/>
          <w:i/>
          <w:iCs/>
          <w:sz w:val="22"/>
          <w:szCs w:val="22"/>
        </w:rPr>
        <w:t xml:space="preserve">,</w:t>
      </w:r>
      <w:r>
        <w:rPr>
          <w:b/>
          <w:bCs/>
          <w:i/>
          <w:iCs/>
          <w:sz w:val="22"/>
          <w:szCs w:val="22"/>
        </w:rPr>
        <w:t xml:space="preserve"> площадь </w:t>
      </w:r>
      <w:r>
        <w:rPr>
          <w:b/>
          <w:bCs/>
          <w:i/>
          <w:iCs/>
          <w:sz w:val="22"/>
          <w:szCs w:val="22"/>
        </w:rPr>
        <w:t xml:space="preserve">760,4</w:t>
      </w:r>
      <w:r>
        <w:rPr>
          <w:b/>
          <w:bCs/>
          <w:i/>
          <w:iCs/>
          <w:sz w:val="22"/>
          <w:szCs w:val="22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кв.м., </w:t>
      </w:r>
      <w:r>
        <w:rPr>
          <w:b/>
          <w:bCs/>
          <w:i/>
          <w:iCs/>
          <w:sz w:val="22"/>
          <w:szCs w:val="22"/>
        </w:rPr>
        <w:t xml:space="preserve">назначение: нежилое</w:t>
      </w:r>
      <w:r>
        <w:rPr>
          <w:b/>
          <w:bCs/>
          <w:i/>
          <w:iCs/>
          <w:sz w:val="22"/>
          <w:szCs w:val="22"/>
        </w:rPr>
        <w:t xml:space="preserve"> помещение</w:t>
      </w:r>
      <w:r>
        <w:rPr>
          <w:b/>
          <w:bCs/>
          <w:i/>
          <w:iCs/>
          <w:sz w:val="22"/>
          <w:szCs w:val="22"/>
        </w:rPr>
        <w:t xml:space="preserve">,</w:t>
      </w:r>
      <w:r>
        <w:rPr>
          <w:b/>
          <w:bCs/>
          <w:i/>
          <w:iCs/>
          <w:sz w:val="22"/>
          <w:szCs w:val="22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кадастровый номер: 54:35:</w:t>
      </w:r>
      <w:r>
        <w:rPr>
          <w:b/>
          <w:bCs/>
          <w:i/>
          <w:iCs/>
          <w:sz w:val="22"/>
          <w:szCs w:val="22"/>
        </w:rPr>
        <w:t xml:space="preserve">101095</w:t>
      </w:r>
      <w:r>
        <w:rPr>
          <w:b/>
          <w:bCs/>
          <w:i/>
          <w:iCs/>
          <w:sz w:val="22"/>
          <w:szCs w:val="22"/>
        </w:rPr>
        <w:t xml:space="preserve">:</w:t>
      </w:r>
      <w:r>
        <w:rPr>
          <w:b/>
          <w:bCs/>
          <w:i/>
          <w:iCs/>
          <w:sz w:val="22"/>
          <w:szCs w:val="22"/>
        </w:rPr>
        <w:t xml:space="preserve">1232</w:t>
      </w:r>
      <w:r>
        <w:rPr>
          <w:b/>
          <w:bCs/>
          <w:i/>
          <w:iCs/>
          <w:sz w:val="22"/>
          <w:szCs w:val="22"/>
        </w:rPr>
        <w:t xml:space="preserve">, расположенн</w:t>
      </w:r>
      <w:r>
        <w:rPr>
          <w:b/>
          <w:bCs/>
          <w:i/>
          <w:iCs/>
          <w:sz w:val="22"/>
          <w:szCs w:val="22"/>
        </w:rPr>
        <w:t xml:space="preserve">ое</w:t>
      </w:r>
      <w:r>
        <w:rPr>
          <w:b/>
          <w:bCs/>
          <w:i/>
          <w:iCs/>
          <w:sz w:val="22"/>
          <w:szCs w:val="22"/>
        </w:rPr>
        <w:t xml:space="preserve"> по адресу: </w:t>
      </w:r>
      <w:r>
        <w:rPr>
          <w:b/>
          <w:bCs/>
          <w:i/>
          <w:iCs/>
          <w:sz w:val="22"/>
          <w:szCs w:val="22"/>
        </w:rPr>
        <w:t xml:space="preserve">Новосибирская область, г</w:t>
      </w:r>
      <w:r>
        <w:rPr>
          <w:b/>
          <w:bCs/>
          <w:i/>
          <w:iCs/>
          <w:sz w:val="22"/>
          <w:szCs w:val="22"/>
        </w:rPr>
        <w:t xml:space="preserve">ород</w:t>
      </w:r>
      <w:r>
        <w:rPr>
          <w:b/>
          <w:bCs/>
          <w:i/>
          <w:iCs/>
          <w:sz w:val="22"/>
          <w:szCs w:val="22"/>
        </w:rPr>
        <w:t xml:space="preserve"> Новосибирск, </w:t>
      </w:r>
      <w:r>
        <w:rPr>
          <w:b/>
          <w:bCs/>
          <w:i/>
          <w:iCs/>
          <w:sz w:val="22"/>
          <w:szCs w:val="22"/>
        </w:rPr>
        <w:t xml:space="preserve">Красный проспект, дом 74</w:t>
      </w:r>
      <w:r>
        <w:rPr>
          <w:b/>
          <w:bCs/>
          <w:i/>
          <w:iCs/>
          <w:sz w:val="22"/>
          <w:szCs w:val="22"/>
          <w:highlight w:val="none"/>
        </w:rPr>
        <w:t xml:space="preserve">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153" w:leader="none"/>
          <w:tab w:val="clear" w:pos="8306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  <w:t xml:space="preserve">Решение об условиях приватизации принято приказом департамента имущества и земельных отношений Новосибирской области от 26.02.2025 № 678 «</w:t>
      </w:r>
      <w:r>
        <w:rPr>
          <w:sz w:val="22"/>
          <w:szCs w:val="22"/>
        </w:rPr>
        <w:t xml:space="preserve">Об условиях приватизации находящегося в государственной собственности Новосибирской области имущества, расположенного по адресу: г. Новосибирск, Красный проспект, д. 74, кадастровый номер 54:35:101095:123</w:t>
      </w:r>
      <w:r>
        <w:rPr>
          <w:sz w:val="22"/>
          <w:szCs w:val="22"/>
          <w:highlight w:val="none"/>
        </w:rPr>
        <w:t xml:space="preserve">2».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Собственник имущества – Новосибирская область.</w:t>
      </w:r>
      <w:r>
        <w:rPr>
          <w:sz w:val="22"/>
          <w:szCs w:val="22"/>
          <w:highlight w:val="none"/>
        </w:rPr>
        <w:tab/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</w:t>
      </w:r>
      <w:r>
        <w:rPr>
          <w:sz w:val="22"/>
          <w:szCs w:val="22"/>
          <w:highlight w:val="none"/>
        </w:rPr>
        <w:t xml:space="preserve">Ограничений в пользовании не имеется.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На</w:t>
      </w:r>
      <w:r>
        <w:rPr>
          <w:sz w:val="22"/>
          <w:szCs w:val="22"/>
          <w:highlight w:val="none"/>
        </w:rPr>
        <w:t xml:space="preserve">чальная цена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продажи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имущества</w:t>
      </w:r>
      <w:r>
        <w:rPr>
          <w:sz w:val="22"/>
          <w:szCs w:val="22"/>
          <w:highlight w:val="none"/>
        </w:rPr>
        <w:t xml:space="preserve"> – 42 438 000</w:t>
      </w:r>
      <w:r>
        <w:rPr>
          <w:sz w:val="22"/>
          <w:szCs w:val="22"/>
          <w:highlight w:val="none"/>
        </w:rPr>
        <w:t xml:space="preserve"> 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 с учётом НДС.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Размер задатка</w:t>
      </w:r>
      <w:r>
        <w:rPr>
          <w:sz w:val="22"/>
          <w:szCs w:val="22"/>
          <w:highlight w:val="none"/>
        </w:rPr>
        <w:t xml:space="preserve"> – </w:t>
      </w:r>
      <w:r>
        <w:rPr>
          <w:sz w:val="22"/>
          <w:szCs w:val="22"/>
          <w:highlight w:val="none"/>
        </w:rPr>
        <w:t xml:space="preserve">4 243 800 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  <w:tab w:val="clear" w:pos="4677" w:leader="none"/>
          <w:tab w:val="clear" w:pos="9355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Величина повышения начальной цены («шаг аукциона»): –</w:t>
      </w:r>
      <w:r>
        <w:rPr>
          <w:sz w:val="22"/>
          <w:szCs w:val="22"/>
          <w:highlight w:val="none"/>
        </w:rPr>
        <w:t xml:space="preserve"> 2 121 900 </w:t>
      </w:r>
      <w:r>
        <w:rPr>
          <w:sz w:val="22"/>
          <w:szCs w:val="22"/>
          <w:highlight w:val="none"/>
        </w:rPr>
        <w:t xml:space="preserve">рублей</w:t>
      </w:r>
      <w:r>
        <w:rPr>
          <w:sz w:val="22"/>
          <w:szCs w:val="22"/>
          <w:highlight w:val="none"/>
        </w:rPr>
        <w:t xml:space="preserve">. 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Средства платежа</w:t>
      </w:r>
      <w:r>
        <w:rPr>
          <w:sz w:val="22"/>
          <w:szCs w:val="22"/>
          <w:highlight w:val="none"/>
        </w:rPr>
        <w:t xml:space="preserve">: денежные средства в валюте Российской Федерации (рубли).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  <w:t xml:space="preserve">Сведения о предыдущих торгах по продаже имущества, объявленных в течение года, предшествующего продаже, и об итогах торгов по продаже имущества</w:t>
      </w:r>
      <w:r>
        <w:rPr>
          <w:sz w:val="22"/>
          <w:szCs w:val="22"/>
          <w:highlight w:val="none"/>
        </w:rPr>
        <w:t xml:space="preserve">: </w:t>
      </w:r>
      <w:r>
        <w:rPr>
          <w:sz w:val="22"/>
          <w:szCs w:val="22"/>
          <w:highlight w:val="none"/>
        </w:rPr>
        <w:t xml:space="preserve">имущество выставлялось на продажу пять раз в 2024 году, один раз в 2025 году. Торги признаны не состоявшимися в связи с отсутствием заявок.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Сведен</w:t>
      </w:r>
      <w:r>
        <w:rPr>
          <w:sz w:val="22"/>
          <w:szCs w:val="22"/>
          <w:highlight w:val="none"/>
        </w:rPr>
        <w:t xml:space="preserve">ия об установлении обременения имущества публичным сервитутом и (или) ограничениями, предусмотренными Федеральным законом от 21.12.2001 № 178-ФЗ «О приватизации государственного и муниципального имущества» и (или) иными федеральными законами – отсутствуют.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  <w14:ligatures w14:val="none"/>
        </w:rPr>
      </w:pPr>
      <w:r>
        <w:rPr>
          <w:sz w:val="22"/>
          <w:szCs w:val="22"/>
          <w:highlight w:val="none"/>
        </w:rPr>
        <w:t xml:space="preserve">Условия конкурса, формы и сроки их выполнения – отсутствуют.</w:t>
      </w:r>
      <w:r>
        <w:rPr>
          <w:sz w:val="22"/>
          <w:szCs w:val="22"/>
          <w:highlight w:val="none"/>
          <w14:ligatures w14:val="none"/>
        </w:rPr>
      </w:r>
      <w:r>
        <w:rPr>
          <w:sz w:val="22"/>
          <w:szCs w:val="22"/>
          <w:highlight w:val="none"/>
          <w14:ligatures w14:val="none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b w:val="0"/>
          <w:bCs w:val="0"/>
          <w:i w:val="0"/>
          <w:highlight w:val="none"/>
        </w:rPr>
      </w:pPr>
      <w:r>
        <w:rPr>
          <w:b w:val="0"/>
          <w:bCs w:val="0"/>
          <w:i w:val="0"/>
          <w:iCs w:val="0"/>
          <w:highlight w:val="none"/>
        </w:rPr>
      </w:r>
      <w:r>
        <w:rPr>
          <w:b w:val="0"/>
          <w:bCs w:val="0"/>
          <w:i w:val="0"/>
          <w:highlight w:val="none"/>
        </w:rPr>
      </w:r>
      <w:r>
        <w:rPr>
          <w:b w:val="0"/>
          <w:bCs w:val="0"/>
          <w:i w:val="0"/>
          <w:highlight w:val="none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b/>
          <w:bCs/>
          <w:i/>
          <w:iCs/>
          <w:sz w:val="22"/>
          <w:szCs w:val="22"/>
          <w:highlight w:val="none"/>
        </w:rPr>
      </w:pPr>
      <w:r>
        <w:rPr>
          <w:b w:val="0"/>
          <w:bCs w:val="0"/>
          <w:i w:val="0"/>
          <w:iCs w:val="0"/>
          <w:sz w:val="22"/>
          <w:szCs w:val="22"/>
          <w:highlight w:val="none"/>
          <w:u w:val="none"/>
        </w:rPr>
        <w:t xml:space="preserve">7. Лот № 7</w:t>
      </w:r>
      <w:r>
        <w:rPr>
          <w:b w:val="0"/>
          <w:bCs w:val="0"/>
          <w:i w:val="0"/>
          <w:iCs w:val="0"/>
          <w:sz w:val="22"/>
          <w:szCs w:val="22"/>
          <w:highlight w:val="none"/>
          <w:u w:val="none"/>
        </w:rPr>
        <w:t xml:space="preserve">:</w:t>
      </w:r>
      <w:r>
        <w:rPr>
          <w:b w:val="0"/>
          <w:bCs w:val="0"/>
          <w:i w:val="0"/>
          <w:iCs w:val="0"/>
          <w:sz w:val="22"/>
          <w:szCs w:val="22"/>
          <w:highlight w:val="none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Здание</w:t>
      </w:r>
      <w:r>
        <w:rPr>
          <w:b/>
          <w:bCs/>
          <w:i/>
          <w:iCs/>
          <w:sz w:val="22"/>
          <w:szCs w:val="22"/>
        </w:rPr>
        <w:t xml:space="preserve">,</w:t>
      </w:r>
      <w:r>
        <w:rPr>
          <w:b/>
          <w:bCs/>
          <w:i/>
          <w:iCs/>
          <w:sz w:val="22"/>
          <w:szCs w:val="22"/>
        </w:rPr>
        <w:t xml:space="preserve"> площадь 66,5</w:t>
      </w:r>
      <w:r>
        <w:rPr>
          <w:b/>
          <w:bCs/>
          <w:i/>
          <w:iCs/>
          <w:sz w:val="22"/>
          <w:szCs w:val="22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кв.м., </w:t>
      </w:r>
      <w:r>
        <w:rPr>
          <w:b/>
          <w:bCs/>
          <w:i/>
          <w:iCs/>
          <w:sz w:val="22"/>
          <w:szCs w:val="22"/>
        </w:rPr>
        <w:t xml:space="preserve">назначение: нежилое</w:t>
      </w:r>
      <w:r>
        <w:rPr>
          <w:b/>
          <w:bCs/>
          <w:i/>
          <w:iCs/>
          <w:sz w:val="22"/>
          <w:szCs w:val="22"/>
        </w:rPr>
        <w:t xml:space="preserve"> здание</w:t>
      </w:r>
      <w:r>
        <w:rPr>
          <w:b/>
          <w:bCs/>
          <w:i/>
          <w:iCs/>
          <w:sz w:val="22"/>
          <w:szCs w:val="22"/>
        </w:rPr>
        <w:t xml:space="preserve">,</w:t>
      </w:r>
      <w:r>
        <w:rPr>
          <w:b/>
          <w:bCs/>
          <w:i/>
          <w:iCs/>
          <w:sz w:val="22"/>
          <w:szCs w:val="22"/>
        </w:rPr>
        <w:t xml:space="preserve"> </w:t>
      </w:r>
      <w:r>
        <w:rPr>
          <w:b/>
          <w:bCs/>
          <w:i/>
          <w:iCs/>
          <w:sz w:val="22"/>
          <w:szCs w:val="22"/>
        </w:rPr>
        <w:t xml:space="preserve">кадастровый номер: 54:35:</w:t>
      </w:r>
      <w:r>
        <w:rPr>
          <w:b/>
          <w:bCs/>
          <w:i/>
          <w:iCs/>
          <w:sz w:val="22"/>
          <w:szCs w:val="22"/>
        </w:rPr>
        <w:t xml:space="preserve">053280:38</w:t>
      </w:r>
      <w:r>
        <w:rPr>
          <w:b/>
          <w:bCs/>
          <w:i/>
          <w:iCs/>
          <w:sz w:val="22"/>
          <w:szCs w:val="22"/>
        </w:rPr>
        <w:t xml:space="preserve">, расположенн</w:t>
      </w:r>
      <w:r>
        <w:rPr>
          <w:b/>
          <w:bCs/>
          <w:i/>
          <w:iCs/>
          <w:sz w:val="22"/>
          <w:szCs w:val="22"/>
        </w:rPr>
        <w:t xml:space="preserve">ое</w:t>
      </w:r>
      <w:r>
        <w:rPr>
          <w:b/>
          <w:bCs/>
          <w:i/>
          <w:iCs/>
          <w:sz w:val="22"/>
          <w:szCs w:val="22"/>
        </w:rPr>
        <w:t xml:space="preserve"> по адресу: Новосибирская область, город Новосибирск, переулок 10-й Бронный, дом 29</w:t>
      </w:r>
      <w:r>
        <w:rPr>
          <w:b/>
          <w:bCs/>
          <w:i/>
          <w:iCs/>
          <w:sz w:val="22"/>
          <w:szCs w:val="22"/>
        </w:rPr>
        <w:t xml:space="preserve">.</w:t>
      </w:r>
      <w:r>
        <w:rPr>
          <w:b/>
          <w:bCs/>
          <w:i/>
          <w:iCs/>
          <w:sz w:val="22"/>
          <w:szCs w:val="22"/>
          <w:highlight w:val="none"/>
        </w:rPr>
      </w:r>
      <w:r>
        <w:rPr>
          <w:b/>
          <w:bCs/>
          <w:i/>
          <w:iCs/>
          <w:sz w:val="22"/>
          <w:szCs w:val="22"/>
          <w:highlight w:val="none"/>
        </w:rPr>
      </w:r>
    </w:p>
    <w:p>
      <w:pPr>
        <w:pStyle w:val="874"/>
        <w:ind w:firstLine="708"/>
        <w:spacing w:before="0"/>
        <w:tabs>
          <w:tab w:val="clear" w:pos="4153" w:leader="none"/>
          <w:tab w:val="clear" w:pos="8306" w:leader="none"/>
        </w:tabs>
        <w:rPr>
          <w:sz w:val="22"/>
          <w:szCs w:val="22"/>
          <w14:ligatures w14:val="none"/>
        </w:rPr>
      </w:pPr>
      <w:r>
        <w:rPr>
          <w:sz w:val="22"/>
          <w:szCs w:val="22"/>
        </w:rPr>
        <w:t xml:space="preserve">Решение об условиях приватизации принято </w:t>
      </w:r>
      <w:r>
        <w:rPr>
          <w:sz w:val="22"/>
          <w:szCs w:val="22"/>
        </w:rPr>
        <w:t xml:space="preserve">приказом департамента имущества и земельных отношений Новосибирской области от 126.02.2025 № 679</w:t>
      </w:r>
      <w:r>
        <w:rPr>
          <w:sz w:val="22"/>
          <w:szCs w:val="22"/>
        </w:rPr>
        <w:t xml:space="preserve"> «</w:t>
      </w:r>
      <w:r>
        <w:rPr>
          <w:sz w:val="22"/>
          <w:szCs w:val="22"/>
        </w:rPr>
        <w:t xml:space="preserve">Об условиях приватизации </w:t>
      </w:r>
      <w:r>
        <w:rPr>
          <w:sz w:val="22"/>
          <w:szCs w:val="22"/>
        </w:rPr>
        <w:t xml:space="preserve">находящегося в государственной собственности Новосибирской области </w:t>
      </w:r>
      <w:r>
        <w:rPr>
          <w:sz w:val="22"/>
          <w:szCs w:val="22"/>
        </w:rPr>
        <w:t xml:space="preserve">имущества, расположенного по адресу: </w:t>
      </w:r>
      <w:r>
        <w:rPr>
          <w:sz w:val="22"/>
          <w:szCs w:val="22"/>
        </w:rPr>
        <w:t xml:space="preserve">г. Новосибирск, </w:t>
      </w:r>
      <w:r>
        <w:rPr>
          <w:sz w:val="22"/>
          <w:szCs w:val="22"/>
        </w:rPr>
        <w:t xml:space="preserve">пер. 10-й Бронный, д. 29</w:t>
      </w:r>
      <w:r>
        <w:rPr>
          <w:sz w:val="22"/>
          <w:szCs w:val="22"/>
        </w:rPr>
        <w:t xml:space="preserve">»</w:t>
      </w:r>
      <w:r>
        <w:rPr>
          <w:sz w:val="22"/>
          <w:szCs w:val="22"/>
        </w:rPr>
        <w:t xml:space="preserve">.</w:t>
      </w:r>
      <w:r>
        <w:rPr>
          <w:sz w:val="22"/>
          <w:szCs w:val="22"/>
          <w14:ligatures w14:val="none"/>
        </w:rPr>
      </w:r>
      <w:r>
        <w:rPr>
          <w:sz w:val="22"/>
          <w:szCs w:val="22"/>
          <w14:ligatures w14:val="none"/>
        </w:rPr>
      </w:r>
    </w:p>
    <w:p>
      <w:pPr>
        <w:pStyle w:val="874"/>
        <w:spacing w:before="0"/>
        <w:rPr>
          <w:sz w:val="22"/>
          <w:szCs w:val="22"/>
        </w:rPr>
      </w:pPr>
      <w:r>
        <w:rPr>
          <w:sz w:val="22"/>
          <w:szCs w:val="22"/>
        </w:rPr>
        <w:t xml:space="preserve">Собственник имущества – Новосибирская область.</w:t>
      </w:r>
      <w:r>
        <w:rPr>
          <w:sz w:val="22"/>
          <w:szCs w:val="22"/>
        </w:rPr>
        <w:tab/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74"/>
        <w:ind w:firstLine="708"/>
        <w:spacing w:before="0"/>
        <w:rPr>
          <w:sz w:val="22"/>
          <w:szCs w:val="22"/>
          <w:highlight w:val="none"/>
        </w:rPr>
      </w:pPr>
      <w:r>
        <w:rPr>
          <w:sz w:val="22"/>
          <w:szCs w:val="22"/>
        </w:rPr>
        <w:t xml:space="preserve"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</w:t>
      </w:r>
      <w:r>
        <w:rPr>
          <w:b w:val="0"/>
          <w:bCs w:val="0"/>
          <w:sz w:val="22"/>
          <w:szCs w:val="22"/>
        </w:rPr>
        <w:t xml:space="preserve">Ограничений в пользовании не имеется.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Начальная цена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продажи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имущества</w:t>
      </w:r>
      <w:r>
        <w:rPr>
          <w:b w:val="0"/>
          <w:bCs w:val="0"/>
          <w:sz w:val="22"/>
          <w:szCs w:val="22"/>
        </w:rPr>
        <w:t xml:space="preserve"> – 572 000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рублей</w:t>
      </w:r>
      <w:r>
        <w:rPr>
          <w:b w:val="0"/>
          <w:bCs w:val="0"/>
          <w:sz w:val="22"/>
          <w:szCs w:val="22"/>
        </w:rPr>
        <w:t xml:space="preserve"> с учётом НДС.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Размер задатка</w:t>
      </w:r>
      <w:r>
        <w:rPr>
          <w:b w:val="0"/>
          <w:bCs w:val="0"/>
          <w:sz w:val="22"/>
          <w:szCs w:val="22"/>
        </w:rPr>
        <w:t xml:space="preserve"> – </w:t>
      </w:r>
      <w:r>
        <w:rPr>
          <w:b w:val="0"/>
          <w:bCs w:val="0"/>
          <w:sz w:val="22"/>
          <w:szCs w:val="22"/>
        </w:rPr>
        <w:t xml:space="preserve">57 200</w:t>
      </w:r>
      <w:r>
        <w:rPr>
          <w:b w:val="0"/>
          <w:bCs w:val="0"/>
          <w:sz w:val="22"/>
          <w:szCs w:val="22"/>
        </w:rPr>
        <w:t xml:space="preserve"> рублей</w:t>
      </w:r>
      <w:r>
        <w:rPr>
          <w:b w:val="0"/>
          <w:bCs w:val="0"/>
          <w:sz w:val="22"/>
          <w:szCs w:val="22"/>
        </w:rPr>
        <w:t xml:space="preserve">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Величина повышения начальной цены («шаг аукциона»): –</w:t>
      </w:r>
      <w:r>
        <w:rPr>
          <w:b w:val="0"/>
          <w:bCs w:val="0"/>
          <w:sz w:val="22"/>
          <w:szCs w:val="22"/>
        </w:rPr>
        <w:t xml:space="preserve"> 28 600</w:t>
      </w:r>
      <w:r>
        <w:rPr>
          <w:b w:val="0"/>
          <w:bCs w:val="0"/>
          <w:sz w:val="22"/>
          <w:szCs w:val="22"/>
        </w:rPr>
        <w:t xml:space="preserve"> рублей</w:t>
      </w:r>
      <w:r>
        <w:rPr>
          <w:b w:val="0"/>
          <w:bCs w:val="0"/>
          <w:sz w:val="22"/>
          <w:szCs w:val="22"/>
        </w:rPr>
        <w:t xml:space="preserve">. 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89"/>
        <w:ind w:firstLine="709"/>
        <w:tabs>
          <w:tab w:val="left" w:pos="284" w:leader="none"/>
        </w:tabs>
        <w:rPr>
          <w:sz w:val="22"/>
          <w:szCs w:val="22"/>
          <w:highlight w:val="none"/>
        </w:rPr>
      </w:pPr>
      <w:r>
        <w:rPr>
          <w:b w:val="0"/>
          <w:bCs w:val="0"/>
          <w:sz w:val="22"/>
          <w:szCs w:val="22"/>
        </w:rPr>
        <w:t xml:space="preserve">Средства платежа</w:t>
      </w:r>
      <w:r>
        <w:rPr>
          <w:b w:val="0"/>
          <w:bCs w:val="0"/>
          <w:sz w:val="22"/>
          <w:szCs w:val="22"/>
        </w:rPr>
        <w:t xml:space="preserve">: денежные средства в валюте Российской Федерации (рубли).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74"/>
        <w:ind w:firstLine="708"/>
        <w:spacing w:before="0"/>
        <w:rPr>
          <w:b w:val="0"/>
          <w:bCs w:val="0"/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</w:rPr>
        <w:t xml:space="preserve">Сведения о предыдущих торгах по продаже имущества, объявленных в течение года, предшествующего продаже, и об итогах торгов по продаже имущества</w:t>
      </w:r>
      <w:r>
        <w:rPr>
          <w:b w:val="0"/>
          <w:bCs w:val="0"/>
          <w:sz w:val="22"/>
          <w:szCs w:val="22"/>
        </w:rPr>
        <w:t xml:space="preserve">: </w:t>
      </w:r>
      <w:r>
        <w:rPr>
          <w:b w:val="0"/>
          <w:bCs w:val="0"/>
          <w:sz w:val="22"/>
          <w:szCs w:val="22"/>
        </w:rPr>
        <w:t xml:space="preserve">имущество </w:t>
      </w:r>
      <w:r>
        <w:rPr>
          <w:b w:val="0"/>
          <w:bCs w:val="0"/>
          <w:sz w:val="22"/>
          <w:szCs w:val="22"/>
        </w:rPr>
        <w:t xml:space="preserve">выставлялось</w:t>
      </w:r>
      <w:r>
        <w:rPr>
          <w:b w:val="0"/>
          <w:bCs w:val="0"/>
          <w:sz w:val="22"/>
          <w:szCs w:val="22"/>
        </w:rPr>
        <w:t xml:space="preserve"> на продажу три</w:t>
      </w:r>
      <w:r>
        <w:rPr>
          <w:b w:val="0"/>
          <w:bCs w:val="0"/>
          <w:sz w:val="22"/>
          <w:szCs w:val="22"/>
        </w:rPr>
        <w:t xml:space="preserve"> раза в 2024 году</w:t>
      </w:r>
      <w:r>
        <w:rPr>
          <w:b w:val="0"/>
          <w:bCs w:val="0"/>
          <w:sz w:val="22"/>
          <w:szCs w:val="22"/>
        </w:rPr>
        <w:t xml:space="preserve">, один раз в 2025 году. </w:t>
      </w:r>
      <w:r>
        <w:rPr>
          <w:b w:val="0"/>
          <w:bCs w:val="0"/>
          <w:sz w:val="22"/>
          <w:szCs w:val="22"/>
        </w:rPr>
        <w:t xml:space="preserve">Торги </w:t>
      </w:r>
      <w:r>
        <w:rPr>
          <w:b w:val="0"/>
          <w:bCs w:val="0"/>
          <w:sz w:val="22"/>
          <w:szCs w:val="22"/>
        </w:rPr>
        <w:t xml:space="preserve">признаны не состоявшимися</w:t>
      </w:r>
      <w:r>
        <w:rPr>
          <w:b w:val="0"/>
          <w:bCs w:val="0"/>
          <w:sz w:val="22"/>
          <w:szCs w:val="22"/>
        </w:rPr>
        <w:t xml:space="preserve"> в связи с отсутствием заявок на участие</w:t>
      </w:r>
      <w:r>
        <w:rPr>
          <w:b w:val="0"/>
          <w:bCs w:val="0"/>
          <w:sz w:val="22"/>
          <w:szCs w:val="22"/>
        </w:rPr>
        <w:t xml:space="preserve">. </w:t>
      </w:r>
      <w:r>
        <w:rPr>
          <w:b w:val="0"/>
          <w:bCs w:val="0"/>
          <w:sz w:val="22"/>
          <w:szCs w:val="22"/>
          <w14:ligatures w14:val="none"/>
        </w:rPr>
      </w:r>
      <w:r>
        <w:rPr>
          <w:b w:val="0"/>
          <w:bCs w:val="0"/>
          <w:sz w:val="22"/>
          <w:szCs w:val="22"/>
          <w14:ligatures w14:val="none"/>
        </w:rPr>
      </w:r>
    </w:p>
    <w:p>
      <w:pPr>
        <w:pStyle w:val="889"/>
        <w:ind w:firstLine="709"/>
        <w:tabs>
          <w:tab w:val="left" w:pos="284" w:leader="none"/>
          <w:tab w:val="clear" w:pos="4153" w:leader="none"/>
          <w:tab w:val="clear" w:pos="8306" w:leader="none"/>
        </w:tabs>
        <w:rPr>
          <w:b w:val="0"/>
          <w:bCs w:val="0"/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</w:rPr>
        <w:t xml:space="preserve">Приватизация</w:t>
      </w:r>
      <w:r>
        <w:rPr>
          <w:b w:val="0"/>
          <w:bCs w:val="0"/>
          <w:sz w:val="22"/>
          <w:szCs w:val="22"/>
        </w:rPr>
        <w:t xml:space="preserve"> имущества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осуществляется одновременно с отчуж</w:t>
      </w:r>
      <w:r>
        <w:rPr>
          <w:b w:val="0"/>
          <w:bCs w:val="0"/>
          <w:sz w:val="22"/>
          <w:szCs w:val="22"/>
        </w:rPr>
        <w:t xml:space="preserve">дением лицу, приобретающему это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и</w:t>
      </w:r>
      <w:r>
        <w:rPr>
          <w:b w:val="0"/>
          <w:bCs w:val="0"/>
          <w:sz w:val="22"/>
          <w:szCs w:val="22"/>
        </w:rPr>
        <w:t xml:space="preserve">мущество</w:t>
      </w:r>
      <w:r>
        <w:rPr>
          <w:b w:val="0"/>
          <w:bCs w:val="0"/>
          <w:sz w:val="22"/>
          <w:szCs w:val="22"/>
        </w:rPr>
        <w:t xml:space="preserve">, земельного участка, занимаемого этим </w:t>
      </w:r>
      <w:r>
        <w:rPr>
          <w:b w:val="0"/>
          <w:bCs w:val="0"/>
          <w:sz w:val="22"/>
          <w:szCs w:val="22"/>
        </w:rPr>
        <w:t xml:space="preserve">имуществом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и необходимого для его использования:</w:t>
      </w:r>
      <w:r>
        <w:rPr>
          <w:b w:val="0"/>
          <w:bCs w:val="0"/>
          <w:sz w:val="22"/>
          <w:szCs w:val="22"/>
          <w14:ligatures w14:val="none"/>
        </w:rPr>
      </w:r>
      <w:r>
        <w:rPr>
          <w:b w:val="0"/>
          <w:bCs w:val="0"/>
          <w:sz w:val="22"/>
          <w:szCs w:val="22"/>
          <w14:ligatures w14:val="none"/>
        </w:rPr>
      </w:r>
    </w:p>
    <w:p>
      <w:pPr>
        <w:pStyle w:val="889"/>
        <w:ind w:firstLine="709"/>
        <w:tabs>
          <w:tab w:val="left" w:pos="284" w:leader="none"/>
          <w:tab w:val="clear" w:pos="4153" w:leader="none"/>
          <w:tab w:val="clear" w:pos="8306" w:leader="none"/>
        </w:tabs>
        <w:rPr>
          <w:b w:val="0"/>
          <w:bCs w:val="0"/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</w:rPr>
        <w:t xml:space="preserve">Земельный участок</w:t>
      </w:r>
      <w:r>
        <w:rPr>
          <w:b w:val="0"/>
          <w:bCs w:val="0"/>
          <w:sz w:val="22"/>
          <w:szCs w:val="22"/>
        </w:rPr>
        <w:t xml:space="preserve">, площадь </w:t>
      </w:r>
      <w:r>
        <w:rPr>
          <w:b w:val="0"/>
          <w:bCs w:val="0"/>
          <w:sz w:val="22"/>
          <w:szCs w:val="22"/>
        </w:rPr>
        <w:t xml:space="preserve">535</w:t>
      </w:r>
      <w:r>
        <w:rPr>
          <w:b w:val="0"/>
          <w:bCs w:val="0"/>
          <w:sz w:val="22"/>
          <w:szCs w:val="22"/>
        </w:rPr>
        <w:t xml:space="preserve"> кв.м.,</w:t>
      </w:r>
      <w:r>
        <w:rPr>
          <w:b w:val="0"/>
          <w:bCs w:val="0"/>
          <w:sz w:val="22"/>
          <w:szCs w:val="22"/>
        </w:rPr>
        <w:t xml:space="preserve"> категория земель: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земли насел</w:t>
      </w:r>
      <w:r>
        <w:rPr>
          <w:b w:val="0"/>
          <w:bCs w:val="0"/>
          <w:sz w:val="22"/>
          <w:szCs w:val="22"/>
        </w:rPr>
        <w:t xml:space="preserve">ё</w:t>
      </w:r>
      <w:r>
        <w:rPr>
          <w:b w:val="0"/>
          <w:bCs w:val="0"/>
          <w:sz w:val="22"/>
          <w:szCs w:val="22"/>
        </w:rPr>
        <w:t xml:space="preserve">нных пунктов</w:t>
      </w:r>
      <w:r>
        <w:rPr>
          <w:b w:val="0"/>
          <w:bCs w:val="0"/>
          <w:sz w:val="22"/>
          <w:szCs w:val="22"/>
        </w:rPr>
        <w:t xml:space="preserve">, к</w:t>
      </w:r>
      <w:r>
        <w:rPr>
          <w:b w:val="0"/>
          <w:bCs w:val="0"/>
          <w:sz w:val="22"/>
          <w:szCs w:val="22"/>
        </w:rPr>
        <w:t xml:space="preserve">адастровый</w:t>
      </w:r>
      <w:r>
        <w:rPr>
          <w:b w:val="0"/>
          <w:bCs w:val="0"/>
          <w:sz w:val="22"/>
          <w:szCs w:val="22"/>
        </w:rPr>
        <w:t xml:space="preserve"> номер: </w:t>
      </w:r>
      <w:r>
        <w:rPr>
          <w:b w:val="0"/>
          <w:bCs w:val="0"/>
          <w:sz w:val="22"/>
          <w:szCs w:val="22"/>
        </w:rPr>
        <w:t xml:space="preserve">54:</w:t>
      </w:r>
      <w:r>
        <w:rPr>
          <w:b w:val="0"/>
          <w:bCs w:val="0"/>
          <w:sz w:val="22"/>
          <w:szCs w:val="22"/>
        </w:rPr>
        <w:t xml:space="preserve">35:</w:t>
      </w:r>
      <w:r>
        <w:rPr>
          <w:b w:val="0"/>
          <w:bCs w:val="0"/>
          <w:sz w:val="22"/>
          <w:szCs w:val="22"/>
        </w:rPr>
        <w:t xml:space="preserve">053280:</w:t>
      </w:r>
      <w:r>
        <w:rPr>
          <w:b w:val="0"/>
          <w:bCs w:val="0"/>
          <w:sz w:val="22"/>
          <w:szCs w:val="22"/>
        </w:rPr>
        <w:t xml:space="preserve">21.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Местоположение</w:t>
      </w:r>
      <w:r>
        <w:rPr>
          <w:b w:val="0"/>
          <w:bCs w:val="0"/>
          <w:sz w:val="22"/>
          <w:szCs w:val="22"/>
        </w:rPr>
        <w:t xml:space="preserve"> </w:t>
      </w:r>
      <w:r>
        <w:rPr>
          <w:b w:val="0"/>
          <w:bCs w:val="0"/>
          <w:sz w:val="22"/>
          <w:szCs w:val="22"/>
        </w:rPr>
        <w:t xml:space="preserve">установлено относительно ориентира, расположенного в границах участка. Ориентир здравпункт. Почтовый адрес ориентира: </w:t>
      </w:r>
      <w:r>
        <w:rPr>
          <w:b w:val="0"/>
          <w:bCs w:val="0"/>
          <w:sz w:val="22"/>
          <w:szCs w:val="22"/>
        </w:rPr>
        <w:t xml:space="preserve">Новосибирская область, </w:t>
      </w:r>
      <w:r>
        <w:rPr>
          <w:b w:val="0"/>
          <w:bCs w:val="0"/>
          <w:sz w:val="22"/>
          <w:szCs w:val="22"/>
        </w:rPr>
        <w:t xml:space="preserve">город Новосибирск, переулок 10-й Бронный, дом 29.</w:t>
      </w:r>
      <w:r>
        <w:rPr>
          <w:b w:val="0"/>
          <w:bCs w:val="0"/>
          <w:sz w:val="22"/>
          <w:szCs w:val="22"/>
          <w14:ligatures w14:val="none"/>
        </w:rPr>
      </w:r>
      <w:r>
        <w:rPr>
          <w:b w:val="0"/>
          <w:bCs w:val="0"/>
          <w:sz w:val="22"/>
          <w:szCs w:val="22"/>
          <w14:ligatures w14:val="none"/>
        </w:rPr>
      </w:r>
    </w:p>
    <w:p>
      <w:pPr>
        <w:pStyle w:val="889"/>
        <w:ind w:firstLine="709"/>
        <w:tabs>
          <w:tab w:val="left" w:pos="284" w:leader="none"/>
          <w:tab w:val="clear" w:pos="4153" w:leader="none"/>
          <w:tab w:val="clear" w:pos="8306" w:leader="none"/>
        </w:tabs>
        <w:rPr>
          <w:b w:val="0"/>
          <w:bCs w:val="0"/>
          <w:sz w:val="22"/>
          <w:szCs w:val="22"/>
          <w14:ligatures w14:val="none"/>
        </w:rPr>
      </w:pPr>
      <w:r>
        <w:rPr>
          <w:b w:val="0"/>
          <w:bCs w:val="0"/>
          <w:sz w:val="22"/>
          <w:szCs w:val="22"/>
        </w:rPr>
        <w:t xml:space="preserve">Цена выкупа указанного земельного участка 4 087 000</w:t>
      </w:r>
      <w:r>
        <w:rPr>
          <w:b w:val="0"/>
          <w:bCs w:val="0"/>
          <w:sz w:val="22"/>
          <w:szCs w:val="22"/>
        </w:rPr>
        <w:t xml:space="preserve"> (Четыре миллиона восемьдесят семь тысяч)</w:t>
      </w:r>
      <w:r>
        <w:rPr>
          <w:b w:val="0"/>
          <w:bCs w:val="0"/>
          <w:sz w:val="22"/>
          <w:szCs w:val="22"/>
        </w:rPr>
        <w:t xml:space="preserve"> рубл</w:t>
      </w:r>
      <w:r>
        <w:rPr>
          <w:b w:val="0"/>
          <w:bCs w:val="0"/>
          <w:sz w:val="22"/>
          <w:szCs w:val="22"/>
        </w:rPr>
        <w:t xml:space="preserve">ей без учёта </w:t>
      </w:r>
      <w:r>
        <w:rPr>
          <w:b w:val="0"/>
          <w:bCs w:val="0"/>
          <w:sz w:val="22"/>
          <w:szCs w:val="22"/>
        </w:rPr>
        <w:t xml:space="preserve">налога на добавленную стоимость</w:t>
      </w:r>
      <w:r>
        <w:rPr>
          <w:b w:val="0"/>
          <w:bCs w:val="0"/>
          <w:sz w:val="22"/>
          <w:szCs w:val="22"/>
        </w:rPr>
        <w:t xml:space="preserve">.</w:t>
      </w:r>
      <w:r>
        <w:rPr>
          <w:b w:val="0"/>
          <w:bCs w:val="0"/>
          <w:sz w:val="22"/>
          <w:szCs w:val="22"/>
          <w14:ligatures w14:val="none"/>
        </w:rPr>
      </w:r>
      <w:r>
        <w:rPr>
          <w:b w:val="0"/>
          <w:bCs w:val="0"/>
          <w:sz w:val="22"/>
          <w:szCs w:val="22"/>
          <w14:ligatures w14:val="none"/>
        </w:rPr>
      </w:r>
    </w:p>
    <w:p>
      <w:pPr>
        <w:pStyle w:val="890"/>
        <w:ind w:firstLine="720"/>
        <w:jc w:val="both"/>
        <w:tabs>
          <w:tab w:val="left" w:pos="708" w:leader="none"/>
        </w:tabs>
        <w:rPr>
          <w:b/>
          <w:bCs/>
          <w:i/>
          <w:sz w:val="22"/>
          <w:szCs w:val="22"/>
          <w:highlight w:val="none"/>
        </w:rPr>
      </w:pPr>
      <w:r>
        <w:rPr>
          <w:b/>
          <w:bCs/>
          <w:i/>
          <w:sz w:val="22"/>
          <w:szCs w:val="22"/>
        </w:rPr>
        <w:t xml:space="preserve">Земельны</w:t>
      </w:r>
      <w:r>
        <w:rPr>
          <w:b/>
          <w:bCs/>
          <w:i/>
          <w:sz w:val="22"/>
          <w:szCs w:val="22"/>
        </w:rPr>
        <w:t xml:space="preserve">й участ</w:t>
      </w:r>
      <w:r>
        <w:rPr>
          <w:b/>
          <w:bCs/>
          <w:i/>
          <w:sz w:val="22"/>
          <w:szCs w:val="22"/>
        </w:rPr>
        <w:t xml:space="preserve">ок не входят в состав лота. </w:t>
      </w:r>
      <w:r>
        <w:rPr>
          <w:b/>
          <w:bCs/>
          <w:i/>
          <w:sz w:val="22"/>
          <w:szCs w:val="22"/>
        </w:rPr>
        <w:t xml:space="preserve">Победител</w:t>
      </w:r>
      <w:r>
        <w:rPr>
          <w:b/>
          <w:bCs/>
          <w:i/>
          <w:sz w:val="22"/>
          <w:szCs w:val="22"/>
        </w:rPr>
        <w:t xml:space="preserve">ь аукциона либо лицо, признанное единственным участником аукциона, в случае, установленном в п. 3 ст. 18 Федерального закона от 21.12.2001 № 178-ФЗ «О приватизации государственного и муниципального имущества», обязан заключить договор купли-продажи земельн</w:t>
      </w:r>
      <w:r>
        <w:rPr>
          <w:b/>
          <w:bCs/>
          <w:i/>
          <w:sz w:val="22"/>
          <w:szCs w:val="22"/>
        </w:rPr>
        <w:t xml:space="preserve">ого</w:t>
      </w:r>
      <w:r>
        <w:rPr>
          <w:b/>
          <w:bCs/>
          <w:i/>
          <w:sz w:val="22"/>
          <w:szCs w:val="22"/>
        </w:rPr>
        <w:t xml:space="preserve"> участк</w:t>
      </w:r>
      <w:r>
        <w:rPr>
          <w:b/>
          <w:bCs/>
          <w:i/>
          <w:sz w:val="22"/>
          <w:szCs w:val="22"/>
        </w:rPr>
        <w:t xml:space="preserve">а одновременно с договором купли-продажи имущества. </w:t>
      </w:r>
      <w:r>
        <w:rPr>
          <w:b/>
          <w:bCs/>
          <w:i/>
          <w:sz w:val="22"/>
          <w:szCs w:val="22"/>
          <w:highlight w:val="none"/>
        </w:rPr>
      </w:r>
      <w:r>
        <w:rPr>
          <w:b/>
          <w:bCs/>
          <w:i/>
          <w:sz w:val="22"/>
          <w:szCs w:val="22"/>
          <w:highlight w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</w:rPr>
      </w:pPr>
      <w:r>
        <w:rPr>
          <w:sz w:val="22"/>
          <w:szCs w:val="22"/>
          <w:highlight w:val="none"/>
        </w:rPr>
        <w:t xml:space="preserve">Сведен</w:t>
      </w:r>
      <w:r>
        <w:rPr>
          <w:sz w:val="22"/>
          <w:szCs w:val="22"/>
          <w:highlight w:val="none"/>
        </w:rPr>
        <w:t xml:space="preserve">ия об установлении обременения имущества публичным сервитутом и (или) ограничениями, предусмотренными Федеральным законом от 21.12.2001 № 178-ФЗ «О приватизации государственного и муниципального имущества» и (или) иными федеральными законами – отсутствуют.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</w:rPr>
      </w:pPr>
      <w:r>
        <w:rPr>
          <w:sz w:val="22"/>
          <w:szCs w:val="22"/>
          <w:highlight w:val="none"/>
        </w:rPr>
        <w:t xml:space="preserve">Условия конкурса, формы и сроки их выполнения – отсутствуют.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90"/>
        <w:jc w:val="both"/>
        <w:tabs>
          <w:tab w:val="left" w:pos="708" w:leader="none"/>
        </w:tabs>
        <w:rPr>
          <w:b/>
          <w:bCs/>
          <w:sz w:val="22"/>
          <w:szCs w:val="22"/>
          <w:highlight w:val="none"/>
        </w:rPr>
      </w:pPr>
      <w:r>
        <w:rPr>
          <w:b/>
          <w:bCs/>
          <w:sz w:val="22"/>
          <w:szCs w:val="22"/>
          <w:highlight w:val="none"/>
        </w:rPr>
      </w:r>
      <w:r>
        <w:rPr>
          <w:b/>
          <w:bCs/>
          <w:sz w:val="22"/>
          <w:szCs w:val="22"/>
          <w:highlight w:val="none"/>
        </w:rPr>
      </w:r>
      <w:r>
        <w:rPr>
          <w:b/>
          <w:bCs/>
          <w:sz w:val="22"/>
          <w:szCs w:val="22"/>
          <w:highlight w:val="none"/>
        </w:rPr>
      </w:r>
    </w:p>
    <w:tbl>
      <w:tblPr>
        <w:tblStyle w:val="726"/>
        <w:tblW w:w="0" w:type="auto"/>
        <w:tblLayout w:type="fixed"/>
        <w:tblLook w:val="04A0" w:firstRow="1" w:lastRow="0" w:firstColumn="1" w:lastColumn="0" w:noHBand="0" w:noVBand="1"/>
      </w:tblPr>
      <w:tblGrid>
        <w:gridCol w:w="3935"/>
        <w:gridCol w:w="6094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935" w:type="dxa"/>
            <w:textDirection w:val="lrTb"/>
            <w:noWrap w:val="false"/>
          </w:tcPr>
          <w:p>
            <w:pPr>
              <w:pStyle w:val="874"/>
              <w:contextualSpacing w:val="0"/>
              <w:ind w:firstLine="0"/>
              <w:jc w:val="both"/>
              <w:spacing w:before="0"/>
              <w:shd w:val="clear" w:color="ffffff" w:themeColor="background1" w:fill="ffffff"/>
              <w:rPr>
                <w:sz w:val="22"/>
                <w:szCs w:val="22"/>
                <w:highlight w:val="white"/>
              </w:rPr>
              <w:suppressLineNumbers w:val="0"/>
            </w:pP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  <w:t xml:space="preserve">Дата и время начала подачи заявок: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094" w:type="dxa"/>
            <w:textDirection w:val="lrTb"/>
            <w:noWrap w:val="false"/>
          </w:tcPr>
          <w:p>
            <w:pPr>
              <w:pStyle w:val="874"/>
              <w:contextualSpacing w:val="0"/>
              <w:ind w:firstLine="0"/>
              <w:jc w:val="both"/>
              <w:spacing w:before="0"/>
              <w:shd w:val="clear" w:color="ffffff" w:themeColor="background1" w:fill="ffffff"/>
              <w:rPr>
                <w:sz w:val="22"/>
                <w:szCs w:val="22"/>
                <w:highlight w:val="white"/>
              </w:rPr>
              <w:suppressLineNumbers w:val="0"/>
            </w:pPr>
            <w:r>
              <w:rPr>
                <w:sz w:val="22"/>
                <w:szCs w:val="22"/>
                <w:highlight w:val="white"/>
              </w:rPr>
            </w:r>
            <w:r>
              <w:rPr>
                <w:b/>
                <w:sz w:val="22"/>
                <w:szCs w:val="22"/>
                <w:highlight w:val="white"/>
              </w:rPr>
              <w:t xml:space="preserve">17.04.2025</w:t>
            </w:r>
            <w:r>
              <w:rPr>
                <w:b/>
                <w:sz w:val="22"/>
                <w:szCs w:val="22"/>
                <w:highlight w:val="white"/>
              </w:rPr>
              <w:t xml:space="preserve"> с </w:t>
            </w:r>
            <w:r>
              <w:rPr>
                <w:b/>
                <w:sz w:val="22"/>
                <w:szCs w:val="22"/>
                <w:highlight w:val="white"/>
              </w:rPr>
              <w:t xml:space="preserve">1</w:t>
            </w:r>
            <w:r>
              <w:rPr>
                <w:b/>
                <w:sz w:val="22"/>
                <w:szCs w:val="22"/>
                <w:highlight w:val="white"/>
              </w:rPr>
              <w:t xml:space="preserve">2 час. 00 мин</w:t>
            </w:r>
            <w:r>
              <w:rPr>
                <w:sz w:val="22"/>
                <w:szCs w:val="22"/>
                <w:highlight w:val="white"/>
              </w:rPr>
              <w:t xml:space="preserve">. </w:t>
            </w:r>
            <w:r>
              <w:rPr>
                <w:b/>
                <w:sz w:val="22"/>
                <w:szCs w:val="22"/>
                <w:highlight w:val="white"/>
              </w:rPr>
              <w:t xml:space="preserve">по </w:t>
            </w:r>
            <w:r>
              <w:rPr>
                <w:b/>
                <w:sz w:val="22"/>
                <w:szCs w:val="22"/>
                <w:highlight w:val="white"/>
              </w:rPr>
              <w:t xml:space="preserve">местному</w:t>
            </w:r>
            <w:r>
              <w:rPr>
                <w:b/>
                <w:sz w:val="22"/>
                <w:szCs w:val="22"/>
                <w:highlight w:val="white"/>
              </w:rPr>
              <w:t xml:space="preserve"> времени</w:t>
            </w:r>
            <w:r>
              <w:rPr>
                <w:sz w:val="22"/>
                <w:szCs w:val="22"/>
                <w:highlight w:val="white"/>
              </w:rPr>
              <w:t xml:space="preserve">.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935" w:type="dxa"/>
            <w:textDirection w:val="lrTb"/>
            <w:noWrap w:val="false"/>
          </w:tcPr>
          <w:p>
            <w:pPr>
              <w:pStyle w:val="874"/>
              <w:contextualSpacing w:val="0"/>
              <w:ind w:firstLine="0"/>
              <w:jc w:val="both"/>
              <w:spacing w:before="0"/>
              <w:shd w:val="clear" w:color="ffffff" w:themeColor="background1" w:fill="ffffff"/>
              <w:rPr>
                <w:sz w:val="22"/>
                <w:szCs w:val="22"/>
                <w:highlight w:val="white"/>
              </w:rPr>
              <w:suppressLineNumbers w:val="0"/>
            </w:pP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  <w:t xml:space="preserve">Дата и время окончания подачи заявок: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094" w:type="dxa"/>
            <w:textDirection w:val="lrTb"/>
            <w:noWrap w:val="false"/>
          </w:tcPr>
          <w:p>
            <w:pPr>
              <w:pStyle w:val="874"/>
              <w:contextualSpacing w:val="0"/>
              <w:ind w:firstLine="0"/>
              <w:jc w:val="both"/>
              <w:spacing w:before="0"/>
              <w:shd w:val="clear" w:color="ffffff" w:themeColor="background1" w:fill="ffffff"/>
              <w:rPr>
                <w:sz w:val="22"/>
                <w:szCs w:val="22"/>
                <w:highlight w:val="white"/>
              </w:rPr>
              <w:suppressLineNumbers w:val="0"/>
            </w:pPr>
            <w:r>
              <w:rPr>
                <w:sz w:val="22"/>
                <w:szCs w:val="22"/>
                <w:highlight w:val="white"/>
              </w:rPr>
            </w:r>
            <w:r>
              <w:rPr>
                <w:b/>
                <w:sz w:val="22"/>
                <w:szCs w:val="22"/>
                <w:highlight w:val="white"/>
              </w:rPr>
              <w:t xml:space="preserve">19.05.2025</w:t>
            </w:r>
            <w:r>
              <w:rPr>
                <w:b/>
                <w:sz w:val="22"/>
                <w:szCs w:val="22"/>
                <w:highlight w:val="white"/>
              </w:rPr>
              <w:t xml:space="preserve"> в </w:t>
            </w:r>
            <w:r>
              <w:rPr>
                <w:b/>
                <w:sz w:val="22"/>
                <w:szCs w:val="22"/>
                <w:highlight w:val="white"/>
              </w:rPr>
              <w:t xml:space="preserve">12</w:t>
            </w:r>
            <w:r>
              <w:rPr>
                <w:b/>
                <w:sz w:val="22"/>
                <w:szCs w:val="22"/>
                <w:highlight w:val="white"/>
              </w:rPr>
              <w:t xml:space="preserve"> час. 00 мин</w:t>
            </w:r>
            <w:r>
              <w:rPr>
                <w:sz w:val="22"/>
                <w:szCs w:val="22"/>
                <w:highlight w:val="white"/>
              </w:rPr>
              <w:t xml:space="preserve">. </w:t>
            </w:r>
            <w:r>
              <w:rPr>
                <w:b/>
                <w:sz w:val="22"/>
                <w:szCs w:val="22"/>
                <w:highlight w:val="white"/>
              </w:rPr>
              <w:t xml:space="preserve">по </w:t>
            </w:r>
            <w:r>
              <w:rPr>
                <w:b/>
                <w:sz w:val="22"/>
                <w:szCs w:val="22"/>
                <w:highlight w:val="white"/>
              </w:rPr>
              <w:t xml:space="preserve">местному</w:t>
            </w:r>
            <w:r>
              <w:rPr>
                <w:b/>
                <w:sz w:val="22"/>
                <w:szCs w:val="22"/>
                <w:highlight w:val="white"/>
              </w:rPr>
              <w:t xml:space="preserve"> времени</w:t>
            </w:r>
            <w:r>
              <w:rPr>
                <w:sz w:val="22"/>
                <w:szCs w:val="22"/>
                <w:highlight w:val="white"/>
              </w:rPr>
              <w:t xml:space="preserve">.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935" w:type="dxa"/>
            <w:textDirection w:val="lrTb"/>
            <w:noWrap w:val="false"/>
          </w:tcPr>
          <w:p>
            <w:pPr>
              <w:pStyle w:val="874"/>
              <w:contextualSpacing w:val="0"/>
              <w:ind w:firstLine="0"/>
              <w:jc w:val="both"/>
              <w:spacing w:before="0"/>
              <w:shd w:val="clear" w:color="ffffff" w:themeColor="background1" w:fill="ffffff"/>
              <w:rPr>
                <w:sz w:val="22"/>
                <w:szCs w:val="22"/>
                <w:highlight w:val="white"/>
              </w:rPr>
              <w:suppressLineNumbers w:val="0"/>
            </w:pP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  <w:t xml:space="preserve">Дат</w:t>
            </w:r>
            <w:r>
              <w:rPr>
                <w:sz w:val="22"/>
                <w:szCs w:val="22"/>
                <w:highlight w:val="white"/>
              </w:rPr>
              <w:t xml:space="preserve">а определения участков аукциона</w:t>
            </w:r>
            <w:r>
              <w:rPr>
                <w:sz w:val="22"/>
                <w:szCs w:val="22"/>
                <w:highlight w:val="white"/>
              </w:rPr>
              <w:t xml:space="preserve">: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094" w:type="dxa"/>
            <w:textDirection w:val="lrTb"/>
            <w:noWrap w:val="false"/>
          </w:tcPr>
          <w:p>
            <w:pPr>
              <w:pStyle w:val="874"/>
              <w:contextualSpacing w:val="0"/>
              <w:ind w:firstLine="0"/>
              <w:jc w:val="both"/>
              <w:spacing w:before="0"/>
              <w:shd w:val="clear" w:color="ffffff" w:themeColor="background1" w:fill="ffffff"/>
              <w:rPr>
                <w:sz w:val="22"/>
                <w:szCs w:val="22"/>
                <w:highlight w:val="white"/>
              </w:rPr>
              <w:suppressLineNumbers w:val="0"/>
            </w:pPr>
            <w:r>
              <w:rPr>
                <w:sz w:val="22"/>
                <w:szCs w:val="22"/>
                <w:highlight w:val="white"/>
              </w:rPr>
            </w:r>
            <w:r>
              <w:rPr>
                <w:b/>
                <w:sz w:val="22"/>
                <w:szCs w:val="22"/>
                <w:highlight w:val="white"/>
              </w:rPr>
              <w:t xml:space="preserve">22.05.2025</w:t>
            </w:r>
            <w:r>
              <w:rPr>
                <w:b/>
                <w:sz w:val="22"/>
                <w:szCs w:val="22"/>
                <w:highlight w:val="white"/>
              </w:rPr>
              <w:t xml:space="preserve"> в </w:t>
            </w:r>
            <w:r>
              <w:rPr>
                <w:b/>
                <w:sz w:val="22"/>
                <w:szCs w:val="22"/>
                <w:highlight w:val="white"/>
              </w:rPr>
              <w:t xml:space="preserve">1</w:t>
            </w:r>
            <w:r>
              <w:rPr>
                <w:b/>
                <w:sz w:val="22"/>
                <w:szCs w:val="22"/>
                <w:highlight w:val="white"/>
              </w:rPr>
              <w:t xml:space="preserve">2 час. 00 мин. по </w:t>
            </w:r>
            <w:r>
              <w:rPr>
                <w:b/>
                <w:sz w:val="22"/>
                <w:szCs w:val="22"/>
                <w:highlight w:val="white"/>
              </w:rPr>
              <w:t xml:space="preserve">местному</w:t>
            </w:r>
            <w:r>
              <w:rPr>
                <w:b/>
                <w:sz w:val="22"/>
                <w:szCs w:val="22"/>
                <w:highlight w:val="white"/>
              </w:rPr>
              <w:t xml:space="preserve"> </w:t>
            </w:r>
            <w:r>
              <w:rPr>
                <w:b/>
                <w:sz w:val="22"/>
                <w:szCs w:val="22"/>
                <w:highlight w:val="white"/>
              </w:rPr>
              <w:t xml:space="preserve">времени.</w:t>
            </w:r>
            <w:r>
              <w:rPr>
                <w:sz w:val="22"/>
                <w:szCs w:val="22"/>
                <w:highlight w:val="white"/>
              </w:rPr>
              <w:t xml:space="preserve"> 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</w:tc>
      </w:tr>
    </w:tbl>
    <w:p>
      <w:pPr>
        <w:pStyle w:val="874"/>
        <w:jc w:val="center"/>
        <w:spacing w:before="0"/>
        <w:rPr>
          <w:rFonts w:eastAsia="Calibri"/>
          <w:b/>
          <w:bCs/>
          <w:sz w:val="22"/>
          <w:szCs w:val="22"/>
          <w:highlight w:val="white"/>
        </w:rPr>
      </w:pPr>
      <w:r>
        <w:rPr>
          <w:rFonts w:eastAsia="Calibri"/>
          <w:b/>
          <w:bCs/>
          <w:sz w:val="22"/>
          <w:szCs w:val="22"/>
          <w:highlight w:val="white"/>
          <w:lang w:eastAsia="en-US"/>
        </w:rPr>
        <w:t xml:space="preserve">Место и срок подведения итого продажи имущества</w:t>
      </w:r>
      <w:r>
        <w:rPr>
          <w:rFonts w:eastAsia="Calibri"/>
          <w:b/>
          <w:bCs/>
          <w:sz w:val="22"/>
          <w:szCs w:val="22"/>
          <w:highlight w:val="white"/>
        </w:rPr>
      </w:r>
      <w:r>
        <w:rPr>
          <w:rFonts w:eastAsia="Calibri"/>
          <w:b/>
          <w:bCs/>
          <w:sz w:val="22"/>
          <w:szCs w:val="22"/>
          <w:highlight w:val="white"/>
        </w:rPr>
      </w:r>
    </w:p>
    <w:p>
      <w:pPr>
        <w:pStyle w:val="874"/>
        <w:jc w:val="center"/>
        <w:spacing w:before="0"/>
        <w:rPr>
          <w:rFonts w:eastAsia="Calibri"/>
          <w:b/>
          <w:bCs/>
          <w:sz w:val="22"/>
          <w:szCs w:val="22"/>
          <w:highlight w:val="yellow"/>
        </w:rPr>
      </w:pPr>
      <w:r>
        <w:rPr>
          <w:rFonts w:eastAsia="Calibri"/>
          <w:b/>
          <w:bCs/>
          <w:sz w:val="22"/>
          <w:szCs w:val="22"/>
          <w:highlight w:val="yellow"/>
        </w:rPr>
      </w:r>
      <w:r>
        <w:rPr>
          <w:rFonts w:eastAsia="Calibri"/>
          <w:b/>
          <w:bCs/>
          <w:sz w:val="22"/>
          <w:szCs w:val="22"/>
          <w:highlight w:val="yellow"/>
        </w:rPr>
      </w:r>
      <w:r>
        <w:rPr>
          <w:rFonts w:eastAsia="Calibri"/>
          <w:b/>
          <w:bCs/>
          <w:sz w:val="22"/>
          <w:szCs w:val="22"/>
          <w:highlight w:val="yellow"/>
        </w:rPr>
      </w:r>
    </w:p>
    <w:p>
      <w:pPr>
        <w:pStyle w:val="874"/>
        <w:ind w:firstLine="0"/>
        <w:jc w:val="both"/>
        <w:spacing w:before="0"/>
        <w:rPr>
          <w:rFonts w:eastAsia="Calibri"/>
          <w:b w:val="0"/>
          <w:bCs w:val="0"/>
          <w:sz w:val="22"/>
          <w:szCs w:val="22"/>
          <w:highlight w:val="white"/>
        </w:rPr>
      </w:pPr>
      <w:r>
        <w:rPr>
          <w:rFonts w:eastAsia="Calibri"/>
          <w:b/>
          <w:bCs/>
          <w:sz w:val="22"/>
          <w:szCs w:val="22"/>
          <w:highlight w:val="white"/>
          <w:lang w:eastAsia="en-US"/>
        </w:rPr>
        <w:tab/>
        <w:t xml:space="preserve">Место подведения итогов: </w:t>
      </w:r>
      <w:r>
        <w:rPr>
          <w:rFonts w:eastAsia="Calibri"/>
          <w:b w:val="0"/>
          <w:bCs w:val="0"/>
          <w:sz w:val="22"/>
          <w:szCs w:val="22"/>
          <w:highlight w:val="white"/>
          <w:lang w:eastAsia="en-US"/>
        </w:rPr>
        <w:t xml:space="preserve">электронная торг</w:t>
      </w:r>
      <w:r>
        <w:rPr>
          <w:rFonts w:eastAsia="Calibri"/>
          <w:b w:val="0"/>
          <w:bCs w:val="0"/>
          <w:sz w:val="22"/>
          <w:szCs w:val="22"/>
          <w:highlight w:val="white"/>
          <w:lang w:eastAsia="en-US"/>
        </w:rPr>
        <w:t xml:space="preserve">овая площадка ООО «РТС-тендер» </w:t>
      </w:r>
      <w:r>
        <w:rPr>
          <w:b w:val="0"/>
          <w:bCs w:val="0"/>
          <w:sz w:val="22"/>
          <w:szCs w:val="22"/>
          <w:highlight w:val="white"/>
        </w:rPr>
      </w:r>
      <w:hyperlink r:id="rId14" w:tooltip="http://www.rts-tender.ru" w:history="1">
        <w:r>
          <w:rPr>
            <w:b w:val="0"/>
            <w:bCs w:val="0"/>
            <w:sz w:val="22"/>
            <w:szCs w:val="22"/>
            <w:highlight w:val="white"/>
            <w:lang w:val="en-US"/>
          </w:rPr>
          <w:t xml:space="preserve">(</w:t>
        </w:r>
        <w:r>
          <w:rPr>
            <w:b w:val="0"/>
            <w:bCs w:val="0"/>
            <w:sz w:val="22"/>
            <w:szCs w:val="22"/>
            <w:highlight w:val="white"/>
          </w:rPr>
          <w:t xml:space="preserve">www.rts-tender.ru</w:t>
        </w:r>
      </w:hyperlink>
      <w:r>
        <w:rPr>
          <w:b w:val="0"/>
          <w:bCs w:val="0"/>
          <w:sz w:val="22"/>
          <w:szCs w:val="22"/>
          <w:highlight w:val="white"/>
        </w:rPr>
        <w:t xml:space="preserve"> (секция «</w:t>
      </w:r>
      <w:r>
        <w:rPr>
          <w:b w:val="0"/>
          <w:bCs w:val="0"/>
          <w:sz w:val="22"/>
          <w:szCs w:val="22"/>
          <w:highlight w:val="white"/>
        </w:rPr>
        <w:t xml:space="preserve">Имущество</w:t>
      </w:r>
      <w:r>
        <w:rPr>
          <w:b w:val="0"/>
          <w:bCs w:val="0"/>
          <w:sz w:val="22"/>
          <w:szCs w:val="22"/>
          <w:highlight w:val="white"/>
        </w:rPr>
        <w:t xml:space="preserve">»)</w:t>
      </w:r>
      <w:r>
        <w:rPr>
          <w:rFonts w:eastAsia="Calibri"/>
          <w:b w:val="0"/>
          <w:bCs w:val="0"/>
          <w:sz w:val="22"/>
          <w:szCs w:val="22"/>
          <w:highlight w:val="white"/>
        </w:rPr>
        <w:t xml:space="preserve">.</w:t>
      </w:r>
      <w:r>
        <w:rPr>
          <w:rFonts w:eastAsia="Calibri"/>
          <w:b w:val="0"/>
          <w:bCs w:val="0"/>
          <w:sz w:val="22"/>
          <w:szCs w:val="22"/>
          <w:highlight w:val="white"/>
        </w:rPr>
        <w:t xml:space="preserve"> </w:t>
      </w:r>
      <w:r>
        <w:rPr>
          <w:rFonts w:eastAsia="Calibri"/>
          <w:b w:val="0"/>
          <w:bCs w:val="0"/>
          <w:sz w:val="22"/>
          <w:szCs w:val="22"/>
          <w:highlight w:val="white"/>
          <w:lang w:val="ru-RU"/>
        </w:rPr>
        <w:t xml:space="preserve">Срок подведения</w:t>
      </w:r>
      <w:r>
        <w:rPr>
          <w:rFonts w:eastAsia="Calibri"/>
          <w:b w:val="0"/>
          <w:bCs w:val="0"/>
          <w:sz w:val="22"/>
          <w:szCs w:val="22"/>
          <w:highlight w:val="white"/>
          <w:lang w:val="ru-RU"/>
        </w:rPr>
        <w:t xml:space="preserve"> и</w:t>
      </w:r>
      <w:r>
        <w:rPr>
          <w:rFonts w:eastAsia="Calibri"/>
          <w:b w:val="0"/>
          <w:bCs w:val="0"/>
          <w:sz w:val="22"/>
          <w:szCs w:val="22"/>
          <w:highlight w:val="white"/>
          <w:lang w:val="ru-RU"/>
        </w:rPr>
        <w:t xml:space="preserve">того</w:t>
      </w:r>
      <w:r>
        <w:rPr>
          <w:rFonts w:eastAsia="Calibri"/>
          <w:b w:val="0"/>
          <w:bCs w:val="0"/>
          <w:sz w:val="22"/>
          <w:szCs w:val="22"/>
          <w:highlight w:val="white"/>
          <w:lang w:val="ru-RU"/>
        </w:rPr>
        <w:t xml:space="preserve">в:</w:t>
      </w:r>
      <w:r>
        <w:rPr>
          <w:rFonts w:eastAsia="Calibri"/>
          <w:b w:val="0"/>
          <w:bCs w:val="0"/>
          <w:sz w:val="22"/>
          <w:szCs w:val="22"/>
          <w:highlight w:val="white"/>
          <w:lang w:val="ru-RU"/>
        </w:rPr>
        <w:t xml:space="preserve"> </w:t>
      </w:r>
      <w:r>
        <w:rPr>
          <w:rFonts w:eastAsia="Calibri"/>
          <w:b w:val="0"/>
          <w:bCs w:val="0"/>
          <w:sz w:val="22"/>
          <w:szCs w:val="22"/>
          <w:highlight w:val="white"/>
          <w:lang w:val="ru-RU"/>
        </w:rPr>
        <w:t xml:space="preserve">26 мая 2025</w:t>
      </w:r>
      <w:r>
        <w:rPr>
          <w:rFonts w:eastAsia="Calibri"/>
          <w:b w:val="0"/>
          <w:bCs w:val="0"/>
          <w:sz w:val="22"/>
          <w:szCs w:val="22"/>
          <w:highlight w:val="none"/>
          <w:lang w:val="ru-RU"/>
        </w:rPr>
        <w:t xml:space="preserve"> года.</w:t>
      </w:r>
      <w:r>
        <w:rPr>
          <w:rFonts w:eastAsia="Calibri"/>
          <w:b w:val="0"/>
          <w:bCs w:val="0"/>
          <w:sz w:val="22"/>
          <w:szCs w:val="22"/>
          <w:highlight w:val="white"/>
        </w:rPr>
      </w:r>
      <w:r>
        <w:rPr>
          <w:rFonts w:eastAsia="Calibri"/>
          <w:b w:val="0"/>
          <w:bCs w:val="0"/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left" w:pos="9912" w:leader="none"/>
        </w:tabs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widowControl w:val="off"/>
        <w:rPr>
          <w:sz w:val="22"/>
          <w:szCs w:val="22"/>
          <w:highlight w:val="none"/>
        </w:rPr>
      </w:pPr>
      <w:r>
        <w:rPr>
          <w:sz w:val="22"/>
          <w:szCs w:val="22"/>
        </w:rPr>
        <w:t xml:space="preserve">Для обеспечения доступа к участию в электронном аукционе Претенденту необходимо пройти процедуру регистрации в ГИС Торги </w:t>
      </w:r>
      <w:r>
        <w:rPr>
          <w:sz w:val="22"/>
          <w:szCs w:val="22"/>
        </w:rPr>
        <w:t xml:space="preserve">(официальный сайт Российской Федерации в информационно-телекоммуникационной сети «Интернет» </w:t>
      </w:r>
      <w:r>
        <w:rPr>
          <w:sz w:val="22"/>
          <w:szCs w:val="22"/>
        </w:rPr>
        <w:t xml:space="preserve">для размещения информации о проведении торгов</w:t>
      </w:r>
      <w:r>
        <w:rPr>
          <w:sz w:val="22"/>
          <w:szCs w:val="22"/>
        </w:rPr>
        <w:t xml:space="preserve"> www.torgi.gov.ru)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Регистрация в ГИС Торги претендентов на участие в Процедуре осуществляется ежедневно, круглосуточно</w:t>
      </w:r>
      <w:r>
        <w:rPr>
          <w:sz w:val="22"/>
          <w:szCs w:val="22"/>
        </w:rPr>
        <w:t xml:space="preserve">.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Регистрация в ГИС Торги осуществляется без взимания платы.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ind w:firstLine="709"/>
        <w:jc w:val="both"/>
        <w:widowControl w:val="off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  <w:t xml:space="preserve">Пройдя регистрацию в ГИС Торги Претендент получает доступ к участию в торгах на электронных площадках, перечень операторов которых утвержден распоряжением Правительства РФ от 12.07.2018 № 1447-р, без прохождения дополнительных проверок и направлен</w:t>
      </w:r>
      <w:r>
        <w:rPr>
          <w:sz w:val="22"/>
          <w:szCs w:val="22"/>
        </w:rPr>
        <w:t xml:space="preserve">ия документов.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ind w:firstLine="709"/>
        <w:jc w:val="both"/>
        <w:widowControl w:val="off"/>
        <w:rPr>
          <w:sz w:val="22"/>
          <w:szCs w:val="22"/>
          <w:highlight w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</w:rPr>
        <w:t xml:space="preserve">После регистрации в ГИС Торги информация автоматически направляется на электронные площадки  по защищённым каналам. Операторы электронных площадок регистрируют участника торгов на электронной площадке не позднее рабочего дня, следующего за </w:t>
      </w:r>
      <w:r>
        <w:rPr>
          <w:sz w:val="22"/>
          <w:szCs w:val="22"/>
        </w:rPr>
        <w:t xml:space="preserve">днем его регистрации в ГИС Торги.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ind w:firstLine="709"/>
        <w:jc w:val="both"/>
        <w:widowControl w:val="off"/>
        <w:rPr>
          <w:sz w:val="22"/>
          <w:szCs w:val="22"/>
          <w:highlight w:val="none"/>
        </w:rPr>
      </w:pPr>
      <w:r>
        <w:rPr>
          <w:sz w:val="22"/>
          <w:szCs w:val="22"/>
        </w:rPr>
      </w:r>
      <w:r>
        <w:rPr>
          <w:sz w:val="22"/>
          <w:szCs w:val="22"/>
        </w:rPr>
        <w:t xml:space="preserve">В случае если Претендент передает полномочия на участие в торгах иному лицу по доверенности, то доверенному лицу также необходимо пройти регистрацию в ГИС Торги. При этом такому представителю необходимо представить скан-образ доверенности</w:t>
      </w:r>
      <w:r>
        <w:rPr>
          <w:sz w:val="22"/>
          <w:szCs w:val="22"/>
        </w:rPr>
        <w:t xml:space="preserve"> в составе заявки на электронной площадке.</w:t>
      </w:r>
      <w:r>
        <w:rPr>
          <w:sz w:val="22"/>
          <w:szCs w:val="22"/>
        </w:rPr>
        <w:t xml:space="preserve">  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ind w:firstLine="709"/>
        <w:jc w:val="both"/>
        <w:rPr>
          <w:sz w:val="22"/>
          <w:szCs w:val="22"/>
          <w:highlight w:val="none"/>
        </w:rPr>
      </w:pPr>
      <w:r>
        <w:rPr>
          <w:sz w:val="22"/>
          <w:szCs w:val="22"/>
        </w:rPr>
        <w:t xml:space="preserve">Регистрации в ГИС Торги подлежат Претенден</w:t>
      </w:r>
      <w:r>
        <w:rPr>
          <w:sz w:val="22"/>
          <w:szCs w:val="22"/>
        </w:rPr>
        <w:t xml:space="preserve">ты, ранее не зарегистрированные</w:t>
      </w:r>
      <w:r>
        <w:rPr>
          <w:sz w:val="22"/>
          <w:szCs w:val="22"/>
        </w:rPr>
        <w:br/>
        <w:t xml:space="preserve">в ГИС Торги</w:t>
      </w:r>
      <w:r>
        <w:rPr>
          <w:sz w:val="22"/>
          <w:szCs w:val="22"/>
        </w:rPr>
        <w:t xml:space="preserve"> или регистрация которых в ГИС Торги была ими прекращена.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ind w:firstLine="709"/>
        <w:jc w:val="both"/>
        <w:rPr>
          <w:sz w:val="22"/>
          <w:szCs w:val="22"/>
          <w:highlight w:val="none"/>
        </w:rPr>
      </w:pPr>
      <w:r>
        <w:rPr>
          <w:sz w:val="22"/>
          <w:szCs w:val="22"/>
          <w:highlight w:val="none"/>
        </w:rPr>
        <w:t xml:space="preserve">Подробно с информацией о регистрации в ГИС Торги можно ознакомиться на сайте</w:t>
      </w:r>
      <w:r>
        <w:rPr>
          <w:sz w:val="22"/>
          <w:szCs w:val="22"/>
          <w:highlight w:val="none"/>
        </w:rPr>
        <w:t xml:space="preserve"> в руководстве пользователя, размещенной в открытой части ГИС Торги в разделе «Служба поддержки»_ «Информационные материалы».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74"/>
        <w:spacing w:before="0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74"/>
        <w:jc w:val="center"/>
        <w:spacing w:before="0"/>
        <w:rPr>
          <w:b/>
          <w:bCs/>
          <w:sz w:val="22"/>
          <w:szCs w:val="22"/>
          <w:highlight w:val="none"/>
        </w:rPr>
      </w:pPr>
      <w:r>
        <w:rPr>
          <w:b/>
          <w:sz w:val="22"/>
          <w:szCs w:val="22"/>
          <w:highlight w:val="white"/>
        </w:rPr>
        <w:t xml:space="preserve">Порядок и место подачи заявок: </w:t>
      </w:r>
      <w:r>
        <w:rPr>
          <w:b/>
          <w:bCs/>
          <w:sz w:val="22"/>
          <w:szCs w:val="22"/>
          <w:highlight w:val="none"/>
        </w:rPr>
      </w:r>
      <w:r>
        <w:rPr>
          <w:b/>
          <w:bCs/>
          <w:sz w:val="22"/>
          <w:szCs w:val="22"/>
          <w:highlight w:val="none"/>
        </w:rPr>
      </w:r>
    </w:p>
    <w:p>
      <w:pPr>
        <w:pStyle w:val="874"/>
        <w:jc w:val="center"/>
        <w:spacing w:before="0"/>
        <w:rPr>
          <w:b/>
          <w:bCs/>
          <w:sz w:val="22"/>
          <w:szCs w:val="22"/>
          <w:highlight w:val="white"/>
        </w:rPr>
      </w:pPr>
      <w:r>
        <w:rPr>
          <w:b/>
          <w:sz w:val="22"/>
          <w:szCs w:val="22"/>
          <w:highlight w:val="none"/>
        </w:rPr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</w:t>
      </w:r>
      <w:r>
        <w:rPr>
          <w:sz w:val="22"/>
          <w:szCs w:val="22"/>
          <w:highlight w:val="white"/>
        </w:rPr>
        <w:t xml:space="preserve">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либо лица, имеющего право действовать от имени Претендента. На</w:t>
      </w:r>
      <w:r>
        <w:rPr>
          <w:sz w:val="22"/>
          <w:szCs w:val="22"/>
          <w:highlight w:val="white"/>
        </w:rPr>
        <w:t xml:space="preserve">личие электронной подписи означает, что документы и сведения, поданные в форме электронных документов, направлены от имени Претендента и отправитель несет ответственность за подлинность и досто</w:t>
      </w:r>
      <w:r>
        <w:rPr>
          <w:sz w:val="22"/>
          <w:szCs w:val="22"/>
          <w:highlight w:val="white"/>
        </w:rPr>
        <w:t xml:space="preserve">верность таких документов и сведений.</w:t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74"/>
        <w:spacing w:before="0"/>
        <w:rPr>
          <w:sz w:val="22"/>
          <w:szCs w:val="22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15" w:tooltip="https://www.lot-online.ru/" w:history="1">
        <w:r>
          <w:rPr>
            <w:sz w:val="22"/>
            <w:szCs w:val="22"/>
            <w:highlight w:val="white"/>
          </w:rPr>
          <w:t xml:space="preserve">https:</w:t>
        </w:r>
        <w:r>
          <w:rPr>
            <w:sz w:val="22"/>
            <w:szCs w:val="22"/>
            <w:highlight w:val="white"/>
          </w:rPr>
          <w:t xml:space="preserve">//</w:t>
        </w:r>
        <w:r>
          <w:rPr>
            <w:sz w:val="22"/>
            <w:szCs w:val="22"/>
            <w:highlight w:val="white"/>
          </w:rPr>
          <w:t xml:space="preserve">www.rts-tender.ru</w:t>
        </w:r>
        <w:r>
          <w:rPr>
            <w:sz w:val="22"/>
            <w:szCs w:val="22"/>
            <w:highlight w:val="white"/>
          </w:rPr>
          <w:t xml:space="preserve">/</w:t>
        </w:r>
      </w:hyperlink>
      <w:r>
        <w:rPr>
          <w:sz w:val="22"/>
          <w:szCs w:val="22"/>
          <w:highlight w:val="white"/>
        </w:rPr>
        <w:t xml:space="preserve">, с приложением электронных образов следующих документов</w:t>
      </w:r>
      <w:r>
        <w:rPr>
          <w:sz w:val="22"/>
          <w:szCs w:val="22"/>
          <w:highlight w:val="white"/>
        </w:rPr>
        <w:t xml:space="preserve">:</w:t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74"/>
        <w:spacing w:before="0"/>
        <w:rPr>
          <w:b/>
          <w:bCs/>
          <w:i/>
          <w:iCs/>
          <w:sz w:val="22"/>
          <w:szCs w:val="22"/>
          <w:highlight w:val="white"/>
        </w:rPr>
      </w:pPr>
      <w:r>
        <w:rPr>
          <w:b/>
          <w:bCs/>
          <w:i/>
          <w:iCs/>
          <w:sz w:val="22"/>
          <w:szCs w:val="22"/>
          <w:highlight w:val="white"/>
        </w:rPr>
        <w:t xml:space="preserve">Юридические лица предоставляют:</w:t>
      </w:r>
      <w:r>
        <w:rPr>
          <w:b/>
          <w:bCs/>
          <w:i/>
          <w:iCs/>
          <w:sz w:val="22"/>
          <w:szCs w:val="22"/>
          <w:highlight w:val="white"/>
        </w:rPr>
      </w:r>
      <w:r>
        <w:rPr>
          <w:b/>
          <w:bCs/>
          <w:i/>
          <w:iCs/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- Заверенные копии учредительных документов Заявителя;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- Документ, содержащий сведения о доле Российской Фе</w:t>
      </w:r>
      <w:r>
        <w:rPr>
          <w:sz w:val="22"/>
          <w:szCs w:val="22"/>
          <w:highlight w:val="white"/>
        </w:rPr>
        <w:t xml:space="preserve">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- Документ, который подтверждает полномочия руководителя юрид</w:t>
      </w:r>
      <w:r>
        <w:rPr>
          <w:sz w:val="22"/>
          <w:szCs w:val="22"/>
          <w:highlight w:val="white"/>
        </w:rPr>
        <w:t xml:space="preserve">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b/>
          <w:bCs/>
          <w:i/>
          <w:iCs/>
          <w:sz w:val="22"/>
          <w:szCs w:val="22"/>
          <w:highlight w:val="white"/>
        </w:rPr>
        <w:t xml:space="preserve">Физические лица предъявляют </w:t>
      </w:r>
      <w:r>
        <w:rPr>
          <w:b/>
          <w:bCs/>
          <w:i/>
          <w:iCs/>
          <w:sz w:val="22"/>
          <w:szCs w:val="22"/>
          <w:highlight w:val="white"/>
        </w:rPr>
        <w:t xml:space="preserve">копию всех листов документа, удостоверяющего личность</w:t>
      </w:r>
      <w:r>
        <w:rPr>
          <w:b/>
          <w:bCs/>
          <w:i/>
          <w:iCs/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К данным документам также прилагается их опись. 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</w:t>
      </w:r>
      <w:r>
        <w:rPr>
          <w:sz w:val="22"/>
          <w:szCs w:val="22"/>
          <w:highlight w:val="white"/>
        </w:rPr>
        <w:t xml:space="preserve">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Одно лицо имеет право подать только одну заявку.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  <w14:ligatures w14:val="none"/>
        </w:rPr>
      </w:pPr>
      <w:r>
        <w:rPr>
          <w:sz w:val="22"/>
          <w:szCs w:val="22"/>
          <w:highlight w:val="white"/>
          <w:u w:val="single"/>
        </w:rPr>
        <w:t xml:space="preserve">Срок и порядок внесения задатка, необходимые реквизиты счетов:</w:t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74"/>
        <w:spacing w:before="0"/>
        <w:rPr>
          <w:sz w:val="22"/>
          <w:szCs w:val="22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74"/>
        <w:spacing w:before="0"/>
        <w:rPr>
          <w:sz w:val="22"/>
          <w:szCs w:val="22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Задаток для участия в аукци</w:t>
      </w:r>
      <w:r>
        <w:rPr>
          <w:sz w:val="22"/>
          <w:szCs w:val="22"/>
          <w:highlight w:val="white"/>
        </w:rPr>
        <w:t xml:space="preserve">оне служит обеспечением исполнения обязательства победителя аукциона по заключению договора купли-продажи и оплате приобретенного на торгах имущества.</w:t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74"/>
        <w:spacing w:before="0"/>
        <w:rPr>
          <w:sz w:val="22"/>
          <w:szCs w:val="22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Задаток должен по</w:t>
      </w:r>
      <w:r>
        <w:rPr>
          <w:sz w:val="22"/>
          <w:szCs w:val="22"/>
          <w:highlight w:val="white"/>
        </w:rPr>
        <w:t xml:space="preserve">ступить</w:t>
      </w:r>
      <w:r>
        <w:rPr>
          <w:sz w:val="22"/>
          <w:szCs w:val="22"/>
          <w:highlight w:val="white"/>
        </w:rPr>
        <w:t xml:space="preserve"> не позд</w:t>
      </w:r>
      <w:r>
        <w:rPr>
          <w:sz w:val="22"/>
          <w:szCs w:val="22"/>
          <w:highlight w:val="white"/>
        </w:rPr>
        <w:t xml:space="preserve">не</w:t>
      </w:r>
      <w:r>
        <w:rPr>
          <w:sz w:val="22"/>
          <w:szCs w:val="22"/>
          <w:highlight w:val="white"/>
        </w:rPr>
        <w:t xml:space="preserve">е</w:t>
      </w:r>
      <w:r>
        <w:rPr>
          <w:sz w:val="22"/>
          <w:szCs w:val="22"/>
          <w:highlight w:val="white"/>
        </w:rPr>
        <w:t xml:space="preserve"> </w:t>
      </w:r>
      <w:r>
        <w:rPr>
          <w:b/>
          <w:bCs/>
          <w:sz w:val="22"/>
          <w:szCs w:val="22"/>
          <w:highlight w:val="white"/>
        </w:rPr>
        <w:t xml:space="preserve">19.05.2025</w:t>
      </w:r>
      <w:r>
        <w:rPr>
          <w:b/>
          <w:bCs/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п</w:t>
      </w:r>
      <w:r>
        <w:rPr>
          <w:sz w:val="22"/>
          <w:szCs w:val="22"/>
          <w:highlight w:val="white"/>
        </w:rPr>
        <w:t xml:space="preserve">о </w:t>
      </w:r>
      <w:r>
        <w:rPr>
          <w:sz w:val="22"/>
          <w:szCs w:val="22"/>
          <w:highlight w:val="white"/>
        </w:rPr>
        <w:t xml:space="preserve">следу</w:t>
      </w:r>
      <w:r>
        <w:rPr>
          <w:sz w:val="22"/>
          <w:szCs w:val="22"/>
          <w:highlight w:val="white"/>
        </w:rPr>
        <w:t xml:space="preserve">ющим реквизитам:</w:t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Получатель: </w:t>
      </w:r>
      <w:r>
        <w:rPr>
          <w:sz w:val="22"/>
          <w:szCs w:val="22"/>
          <w:highlight w:val="white"/>
        </w:rPr>
        <w:t xml:space="preserve">МФиНП</w:t>
      </w:r>
      <w:r>
        <w:rPr>
          <w:sz w:val="22"/>
          <w:szCs w:val="22"/>
          <w:highlight w:val="white"/>
        </w:rPr>
        <w:t xml:space="preserve"> НСО (</w:t>
      </w:r>
      <w:r>
        <w:rPr>
          <w:sz w:val="22"/>
          <w:szCs w:val="22"/>
          <w:highlight w:val="white"/>
        </w:rPr>
        <w:t xml:space="preserve">ДИиЗО</w:t>
      </w:r>
      <w:r>
        <w:rPr>
          <w:sz w:val="22"/>
          <w:szCs w:val="22"/>
          <w:highlight w:val="white"/>
        </w:rPr>
        <w:t xml:space="preserve"> НСО, л/с190010013</w:t>
      </w:r>
      <w:r>
        <w:rPr>
          <w:sz w:val="22"/>
          <w:szCs w:val="22"/>
          <w:highlight w:val="white"/>
        </w:rPr>
        <w:t xml:space="preserve">)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ИНН 5406214965 / КПП 540601001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Сибирское ГУ Банка России</w:t>
      </w:r>
      <w:r>
        <w:rPr>
          <w:sz w:val="22"/>
          <w:szCs w:val="22"/>
          <w:highlight w:val="white"/>
        </w:rPr>
        <w:t xml:space="preserve">//УФК по Новосибирской области</w:t>
      </w: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г.Новосибирск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БИК </w:t>
      </w:r>
      <w:r>
        <w:rPr>
          <w:sz w:val="22"/>
          <w:szCs w:val="22"/>
          <w:highlight w:val="white"/>
        </w:rPr>
        <w:t xml:space="preserve">015004950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р/с 40102810445370000043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л/с </w:t>
      </w:r>
      <w:r>
        <w:rPr>
          <w:sz w:val="22"/>
          <w:szCs w:val="22"/>
          <w:highlight w:val="white"/>
        </w:rPr>
        <w:t xml:space="preserve">03222643500000005100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ОКТМО 50701000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КБК 00000000000000000510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8"/>
          <w:szCs w:val="28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Назначение платежа: Перечисление задатка для участия</w:t>
      </w:r>
      <w:r>
        <w:rPr>
          <w:sz w:val="22"/>
          <w:szCs w:val="22"/>
          <w:highlight w:val="none"/>
        </w:rPr>
        <w:t xml:space="preserve"> в аукционе по продаже государственного имущества Новосибирской области расположенного____________________. Без НДС.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pStyle w:val="874"/>
        <w:spacing w:before="0"/>
        <w:rPr>
          <w:sz w:val="22"/>
          <w:szCs w:val="22"/>
          <w:highlight w:val="white"/>
          <w14:ligatures w14:val="none"/>
        </w:rPr>
      </w:pPr>
      <w:r>
        <w:rPr>
          <w:sz w:val="22"/>
          <w:szCs w:val="22"/>
          <w:highlight w:val="white"/>
        </w:rPr>
        <w:t xml:space="preserve">Документом, подтверждающим поступление задатка на счет, является выписка с этого счет</w:t>
      </w:r>
      <w:r>
        <w:rPr>
          <w:sz w:val="22"/>
          <w:szCs w:val="22"/>
          <w:highlight w:val="white"/>
        </w:rPr>
        <w:t xml:space="preserve">а</w:t>
      </w:r>
      <w:r>
        <w:rPr>
          <w:sz w:val="22"/>
          <w:szCs w:val="22"/>
          <w:highlight w:val="none"/>
          <w14:ligatures w14:val="none"/>
        </w:rPr>
        <w:t xml:space="preserve">.</w:t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74"/>
        <w:spacing w:before="0"/>
        <w:rPr>
          <w:sz w:val="22"/>
          <w:szCs w:val="22"/>
          <w:highlight w:val="white"/>
          <w14:ligatures w14:val="none"/>
        </w:rPr>
      </w:pP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Данное информационное сообщение является публичной офертой для з</w:t>
      </w:r>
      <w:r>
        <w:rPr>
          <w:sz w:val="22"/>
          <w:szCs w:val="22"/>
          <w:highlight w:val="white"/>
        </w:rPr>
        <w:t xml:space="preserve">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 Плат</w:t>
      </w:r>
      <w:r>
        <w:rPr>
          <w:sz w:val="22"/>
          <w:szCs w:val="22"/>
          <w:highlight w:val="white"/>
        </w:rPr>
        <w:t xml:space="preserve">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 и возвращены на счет плательщика.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В случаях отзыва претендентом заявки: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5 (пять) дней со дня поступления уведомления об отзыве заявки;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– позднее даты и времени окончания подачи (приема) заявок задаток возвращается в течение 5 (пяти) календарных дней с даты подведения итогов Процедуры.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Участникам, за исключением победителя Процедуры, внесенный задаток возвращается в течение 5 (пяти) дней с даты подведения итогов Процедуры.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 Претендентам, не допущенным к участию в Процедуре, внесенный задаток возвращается в течение 5 (пяти) дней со дня подписания протокола о признании претендентов участниками.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Заключение договора купли-продажи для победителя Процедуры является обязательным.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При уклонении или отказе победителя Процедуры от заключения в установленный срок договора купли-продажи Объекта, он утрачивает право на заключение указанного договора и задаток ему не возвращается. Результаты Процедуры аннулируются.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В случае отказа Продавца от проведения Процедуры, поступившие задатки возвращаются претендентам/участникам в течение 5 (пяти) рабочих дней с даты принятия решения об отказе в проведении Процедуры.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</w:rPr>
      </w:pPr>
      <w:r>
        <w:rPr>
          <w:sz w:val="22"/>
          <w:szCs w:val="22"/>
        </w:rPr>
        <w:t xml:space="preserve">Не позднее следующего ра</w:t>
      </w:r>
      <w:r>
        <w:rPr>
          <w:sz w:val="22"/>
          <w:szCs w:val="22"/>
        </w:rPr>
        <w:t xml:space="preserve">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74"/>
        <w:jc w:val="center"/>
        <w:spacing w:before="0"/>
        <w:rPr>
          <w:rFonts w:eastAsia="Calibri"/>
          <w:b/>
          <w:bCs/>
          <w:sz w:val="22"/>
          <w:szCs w:val="22"/>
          <w:highlight w:val="none"/>
          <w:lang w:eastAsia="en-US"/>
        </w:rPr>
      </w:pPr>
      <w:r>
        <w:rPr>
          <w:rFonts w:eastAsia="Calibri"/>
          <w:b/>
          <w:bCs/>
          <w:sz w:val="22"/>
          <w:szCs w:val="22"/>
          <w:highlight w:val="none"/>
          <w:lang w:eastAsia="en-US"/>
        </w:rPr>
      </w:r>
      <w:r>
        <w:rPr>
          <w:rFonts w:eastAsia="Calibri"/>
          <w:b/>
          <w:bCs/>
          <w:sz w:val="22"/>
          <w:szCs w:val="22"/>
          <w:highlight w:val="none"/>
          <w:lang w:eastAsia="en-US"/>
        </w:rPr>
      </w:r>
      <w:r>
        <w:rPr>
          <w:rFonts w:eastAsia="Calibri"/>
          <w:b/>
          <w:bCs/>
          <w:sz w:val="22"/>
          <w:szCs w:val="22"/>
          <w:highlight w:val="none"/>
          <w:lang w:eastAsia="en-US"/>
        </w:rPr>
      </w:r>
    </w:p>
    <w:p>
      <w:pPr>
        <w:pStyle w:val="874"/>
        <w:jc w:val="center"/>
        <w:spacing w:before="0"/>
        <w:rPr>
          <w:rFonts w:eastAsia="Calibri"/>
          <w:b/>
          <w:bCs/>
          <w:sz w:val="22"/>
          <w:szCs w:val="22"/>
          <w:highlight w:val="none"/>
          <w:lang w:eastAsia="en-US"/>
        </w:rPr>
      </w:pPr>
      <w:r>
        <w:rPr>
          <w:rFonts w:eastAsia="Calibri"/>
          <w:b/>
          <w:bCs/>
          <w:sz w:val="22"/>
          <w:szCs w:val="22"/>
          <w:highlight w:val="white"/>
          <w:lang w:eastAsia="en-US"/>
        </w:rPr>
        <w:t xml:space="preserve">Порядок определения победителей аукциона</w:t>
      </w:r>
      <w:r>
        <w:rPr>
          <w:rFonts w:eastAsia="Calibri"/>
          <w:b/>
          <w:bCs/>
          <w:sz w:val="22"/>
          <w:szCs w:val="22"/>
          <w:highlight w:val="none"/>
          <w:lang w:eastAsia="en-US"/>
        </w:rPr>
      </w:r>
      <w:r>
        <w:rPr>
          <w:rFonts w:eastAsia="Calibri"/>
          <w:b/>
          <w:bCs/>
          <w:sz w:val="22"/>
          <w:szCs w:val="22"/>
          <w:highlight w:val="none"/>
          <w:lang w:eastAsia="en-US"/>
        </w:rPr>
      </w:r>
    </w:p>
    <w:p>
      <w:pPr>
        <w:pStyle w:val="874"/>
        <w:jc w:val="center"/>
        <w:spacing w:before="0"/>
        <w:rPr>
          <w:b/>
          <w:bCs/>
          <w:sz w:val="22"/>
          <w:szCs w:val="22"/>
          <w:highlight w:val="white"/>
        </w:rPr>
      </w:pPr>
      <w:r>
        <w:rPr>
          <w:rFonts w:eastAsia="Calibri"/>
          <w:b/>
          <w:bCs/>
          <w:sz w:val="22"/>
          <w:szCs w:val="22"/>
          <w:highlight w:val="white"/>
          <w:lang w:eastAsia="en-US"/>
        </w:rPr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pStyle w:val="874"/>
        <w:spacing w:before="0"/>
        <w:rPr>
          <w:rFonts w:eastAsia="Calibri"/>
          <w:b w:val="0"/>
          <w:bCs w:val="0"/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При участии в аукционе двух и более претендентов, победителем аукциона признается участник, предложивший наиболее высокую цену за имущество.</w:t>
      </w:r>
      <w:r>
        <w:rPr>
          <w:b w:val="0"/>
          <w:bCs w:val="0"/>
          <w:sz w:val="22"/>
          <w:szCs w:val="22"/>
          <w:highlight w:val="white"/>
        </w:rPr>
        <w:t xml:space="preserve"> </w:t>
      </w:r>
      <w:r>
        <w:rPr>
          <w:rFonts w:eastAsia="Calibri"/>
          <w:b w:val="0"/>
          <w:bCs w:val="0"/>
          <w:sz w:val="22"/>
          <w:szCs w:val="22"/>
          <w:highlight w:val="white"/>
          <w:lang w:eastAsia="en-US"/>
        </w:rPr>
        <w:t xml:space="preserve">В случае, если заявку на участие в аукционе подало только одно лицо, признанное единственным участником аукциона, договор заключается с таким лицом по начальной цене продажи государственного имущества.</w:t>
      </w:r>
      <w:r>
        <w:rPr>
          <w:rFonts w:eastAsia="Calibri"/>
          <w:b w:val="0"/>
          <w:bCs w:val="0"/>
          <w:sz w:val="22"/>
          <w:szCs w:val="22"/>
          <w:highlight w:val="white"/>
          <w:lang w:eastAsia="en-US"/>
        </w:rPr>
        <w:t xml:space="preserve"> В случае отказа лица, признанного единственным участником аукциона, от заключения договора аукцион признается несостоявшимся.</w:t>
      </w:r>
      <w:r>
        <w:rPr>
          <w:rFonts w:eastAsia="Calibri"/>
          <w:b w:val="0"/>
          <w:bCs w:val="0"/>
          <w:sz w:val="22"/>
          <w:szCs w:val="22"/>
          <w:highlight w:val="white"/>
        </w:rPr>
      </w:r>
      <w:r>
        <w:rPr>
          <w:rFonts w:eastAsia="Calibri"/>
          <w:b w:val="0"/>
          <w:bCs w:val="0"/>
          <w:sz w:val="22"/>
          <w:szCs w:val="22"/>
          <w:highlight w:val="white"/>
        </w:rPr>
      </w:r>
    </w:p>
    <w:p>
      <w:pPr>
        <w:contextualSpacing/>
        <w:ind w:firstLine="709"/>
        <w:jc w:val="both"/>
        <w:rPr>
          <w:rFonts w:eastAsia="Calibri"/>
          <w:b/>
          <w:sz w:val="22"/>
          <w:szCs w:val="22"/>
          <w:highlight w:val="white"/>
        </w:rPr>
      </w:pPr>
      <w:r>
        <w:rPr>
          <w:rFonts w:eastAsia="Calibri"/>
          <w:b/>
          <w:sz w:val="22"/>
          <w:szCs w:val="22"/>
          <w:highlight w:val="white"/>
          <w:lang w:eastAsia="en-US"/>
        </w:rPr>
      </w:r>
      <w:r>
        <w:rPr>
          <w:rFonts w:eastAsia="Calibri"/>
          <w:b/>
          <w:sz w:val="22"/>
          <w:szCs w:val="22"/>
          <w:highlight w:val="white"/>
        </w:rPr>
      </w:r>
      <w:r>
        <w:rPr>
          <w:rFonts w:eastAsia="Calibri"/>
          <w:b/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Срок заключения договора купли-продажи в</w:t>
      </w:r>
      <w:r>
        <w:rPr>
          <w:b/>
          <w:bCs/>
          <w:sz w:val="22"/>
          <w:szCs w:val="22"/>
          <w:highlight w:val="white"/>
        </w:rPr>
        <w:t xml:space="preserve"> течение пяти рабочих дней</w:t>
      </w:r>
      <w:r>
        <w:rPr>
          <w:sz w:val="22"/>
          <w:szCs w:val="22"/>
          <w:highlight w:val="white"/>
        </w:rPr>
        <w:t xml:space="preserve"> с даты подведения итогов аукциона.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jc w:val="center"/>
        <w:spacing w:before="0"/>
        <w:rPr>
          <w:b/>
          <w:bCs/>
          <w:sz w:val="22"/>
          <w:szCs w:val="22"/>
          <w:highlight w:val="white"/>
        </w:rPr>
      </w:pP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pStyle w:val="874"/>
        <w:jc w:val="center"/>
        <w:spacing w:before="0"/>
        <w:rPr>
          <w:sz w:val="22"/>
          <w:szCs w:val="22"/>
          <w:highlight w:val="none"/>
        </w:rPr>
      </w:pPr>
      <w:r>
        <w:rPr>
          <w:b/>
          <w:bCs/>
          <w:sz w:val="22"/>
          <w:szCs w:val="22"/>
          <w:highlight w:val="white"/>
        </w:rPr>
        <w:t xml:space="preserve">Условия и сроки платежа, необходимые реквизиты счетов: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74"/>
        <w:jc w:val="center"/>
        <w:spacing w:before="0"/>
        <w:rPr>
          <w:b/>
          <w:bCs/>
          <w:sz w:val="22"/>
          <w:szCs w:val="22"/>
          <w:highlight w:val="white"/>
        </w:rPr>
      </w:pPr>
      <w:r>
        <w:rPr>
          <w:sz w:val="22"/>
          <w:szCs w:val="22"/>
          <w:highlight w:val="none"/>
        </w:rPr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Оплата имущества должна быть произведена </w:t>
      </w:r>
      <w:r>
        <w:rPr>
          <w:b w:val="0"/>
          <w:bCs w:val="0"/>
          <w:sz w:val="22"/>
          <w:szCs w:val="22"/>
          <w:highlight w:val="white"/>
        </w:rPr>
        <w:t xml:space="preserve">не позднее 10 рабочих дней со дня заключения договора купли-продажи по следующим реквизитам: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Наименование получателя платежа: Управление Федерального казначейства по Новосибирской области (Департамент имущества и земельных отношений Новосибирской области, л/сч 04512005970).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ИНН получателя платежа: 5406214965.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КПП получателя платежа: 540601001.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Расчетный счет получателя: 03100643000000015100 в Сибирском ГУ Банка России // УФК по Новосибирской области г. Новосибирск. БИК 015004950.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Код бюджетной классификации (КБК): 120 1 14 02023 02 0000 410</w:t>
      </w:r>
      <w:r>
        <w:rPr>
          <w:b w:val="0"/>
          <w:bCs w:val="0"/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Код ОКТМО: 50701000.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right="22"/>
        <w:jc w:val="both"/>
        <w:tabs>
          <w:tab w:val="num" w:pos="0" w:leader="none"/>
        </w:tabs>
        <w:rPr>
          <w:sz w:val="22"/>
          <w:szCs w:val="22"/>
        </w:rPr>
      </w:pPr>
      <w:r>
        <w:rPr>
          <w:sz w:val="22"/>
          <w:szCs w:val="22"/>
          <w:highlight w:val="white"/>
        </w:rPr>
        <w:tab/>
        <w:t xml:space="preserve">Победитель аукциона, являющийся налоговым агентом, за исключением фи</w:t>
      </w:r>
      <w:r>
        <w:rPr>
          <w:sz w:val="22"/>
          <w:szCs w:val="22"/>
        </w:rPr>
        <w:t xml:space="preserve">зического лица, не являющегося индивидуальным предпринимателем, самостоятельно исчисляет и уплачивает НДС в соответствии с налоговым законодательством.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74"/>
        <w:spacing w:before="0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93"/>
        <w:ind w:left="0" w:right="22"/>
        <w:rPr>
          <w:sz w:val="22"/>
          <w:szCs w:val="22"/>
          <w:highlight w:val="none"/>
        </w:rPr>
      </w:pPr>
      <w:r>
        <w:rPr>
          <w:b w:val="0"/>
          <w:bCs w:val="0"/>
          <w:sz w:val="22"/>
          <w:szCs w:val="22"/>
          <w:highlight w:val="white"/>
        </w:rPr>
        <w:t xml:space="preserve">Оплата земельного участка должна быть произведена </w:t>
      </w:r>
      <w:r>
        <w:rPr>
          <w:b w:val="0"/>
          <w:bCs w:val="0"/>
          <w:sz w:val="22"/>
          <w:szCs w:val="22"/>
          <w:highlight w:val="white"/>
        </w:rPr>
        <w:t xml:space="preserve">не позднее 10 рабочих дней со дня заключения договора купли-продажи имущества по следующим реквизитам: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Наименование получателя платежа: Управление Федерального казначейства по Новосибирской области (Департамент имущества и земельных отношений Новосибирской области, л/сч 04512005970).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ИНН получателя платежа: 5406214965.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КПП получателя платежа: 540601001.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b w:val="0"/>
          <w:bCs w:val="0"/>
          <w:sz w:val="22"/>
          <w:szCs w:val="22"/>
          <w:highlight w:val="white"/>
        </w:rPr>
        <w:t xml:space="preserve">Расчетный счет получателя: 03100643000000015100 в Сибирском ГУ Банка России // УФК по Новосибирской области г. Новосибирск. БИК 015004950.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3"/>
        <w:ind w:left="0" w:right="22"/>
        <w:rPr>
          <w:sz w:val="22"/>
          <w:szCs w:val="22"/>
          <w:highlight w:val="white"/>
          <w14:ligatures w14:val="none"/>
        </w:rPr>
      </w:pPr>
      <w:r>
        <w:rPr>
          <w:b w:val="0"/>
          <w:bCs w:val="0"/>
          <w:sz w:val="22"/>
          <w:szCs w:val="22"/>
          <w:highlight w:val="white"/>
        </w:rPr>
        <w:t xml:space="preserve">Код бюджетной классификации (КБК):</w:t>
      </w:r>
      <w:r>
        <w:rPr>
          <w:b w:val="0"/>
          <w:bCs w:val="0"/>
          <w:sz w:val="22"/>
          <w:szCs w:val="22"/>
          <w:highlight w:val="white"/>
        </w:rPr>
        <w:t xml:space="preserve"> </w:t>
      </w:r>
      <w:r>
        <w:rPr>
          <w:b w:val="0"/>
          <w:bCs w:val="0"/>
          <w:sz w:val="22"/>
          <w:szCs w:val="22"/>
          <w:highlight w:val="white"/>
        </w:rPr>
        <w:t xml:space="preserve">120 1 14 06022 02 0000 430</w:t>
      </w:r>
      <w:r>
        <w:rPr>
          <w:b w:val="0"/>
          <w:bCs w:val="0"/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  <w14:ligatures w14:val="none"/>
        </w:rPr>
      </w:r>
      <w:r>
        <w:rPr>
          <w:sz w:val="22"/>
          <w:szCs w:val="22"/>
          <w:highlight w:val="white"/>
          <w14:ligatures w14:val="none"/>
        </w:rPr>
      </w:r>
    </w:p>
    <w:p>
      <w:pPr>
        <w:pStyle w:val="893"/>
        <w:ind w:left="0" w:right="22"/>
        <w:rPr>
          <w:sz w:val="22"/>
          <w:szCs w:val="22"/>
          <w:highlight w:val="none"/>
        </w:rPr>
      </w:pPr>
      <w:r>
        <w:rPr>
          <w:b w:val="0"/>
          <w:bCs w:val="0"/>
          <w:sz w:val="22"/>
          <w:szCs w:val="22"/>
          <w:highlight w:val="white"/>
        </w:rPr>
        <w:t xml:space="preserve">Код ОКТМО: 50701000.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93"/>
        <w:ind w:left="0" w:right="22"/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В платежн</w:t>
      </w:r>
      <w:r>
        <w:rPr>
          <w:b w:val="0"/>
          <w:bCs w:val="0"/>
          <w:sz w:val="22"/>
          <w:szCs w:val="22"/>
        </w:rPr>
        <w:t xml:space="preserve">ом</w:t>
      </w:r>
      <w:r>
        <w:rPr>
          <w:b w:val="0"/>
          <w:bCs w:val="0"/>
          <w:sz w:val="22"/>
          <w:szCs w:val="22"/>
        </w:rPr>
        <w:t xml:space="preserve"> поручени</w:t>
      </w:r>
      <w:r>
        <w:rPr>
          <w:b w:val="0"/>
          <w:bCs w:val="0"/>
          <w:sz w:val="22"/>
          <w:szCs w:val="22"/>
        </w:rPr>
        <w:t xml:space="preserve">и</w:t>
      </w:r>
      <w:r>
        <w:rPr>
          <w:b w:val="0"/>
          <w:bCs w:val="0"/>
          <w:sz w:val="22"/>
          <w:szCs w:val="22"/>
        </w:rPr>
        <w:t xml:space="preserve">, подтверждающ</w:t>
      </w:r>
      <w:r>
        <w:rPr>
          <w:b w:val="0"/>
          <w:bCs w:val="0"/>
          <w:sz w:val="22"/>
          <w:szCs w:val="22"/>
        </w:rPr>
        <w:t xml:space="preserve">ем</w:t>
      </w:r>
      <w:r>
        <w:rPr>
          <w:b w:val="0"/>
          <w:bCs w:val="0"/>
          <w:sz w:val="22"/>
          <w:szCs w:val="22"/>
        </w:rPr>
        <w:t xml:space="preserve"> оплату имущества и земельного участка, должны быть указаны реквизиты Покупателя, номер и дата договоров.</w:t>
      </w:r>
      <w:r>
        <w:rPr>
          <w:b w:val="0"/>
          <w:bCs w:val="0"/>
          <w:sz w:val="22"/>
          <w:szCs w:val="22"/>
        </w:rPr>
        <w:t xml:space="preserve"> Моментом оплаты </w:t>
      </w:r>
      <w:r>
        <w:rPr>
          <w:b w:val="0"/>
          <w:bCs w:val="0"/>
          <w:sz w:val="22"/>
          <w:szCs w:val="22"/>
        </w:rPr>
        <w:t xml:space="preserve">считается день зачисления денежных средств на счет </w:t>
      </w:r>
      <w:r>
        <w:rPr>
          <w:b w:val="0"/>
          <w:bCs w:val="0"/>
          <w:sz w:val="22"/>
          <w:szCs w:val="22"/>
        </w:rPr>
        <w:t xml:space="preserve">Продавца</w:t>
      </w:r>
      <w:r>
        <w:rPr>
          <w:b w:val="0"/>
          <w:bCs w:val="0"/>
          <w:sz w:val="22"/>
          <w:szCs w:val="22"/>
        </w:rPr>
        <w:t xml:space="preserve">.</w:t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93"/>
        <w:ind w:left="0" w:right="22"/>
        <w:rPr>
          <w:sz w:val="22"/>
          <w:szCs w:val="22"/>
          <w:highlight w:val="whit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jc w:val="center"/>
        <w:spacing w:before="0"/>
        <w:rPr>
          <w:b/>
          <w:bCs/>
          <w:sz w:val="22"/>
          <w:szCs w:val="22"/>
          <w:highlight w:val="white"/>
        </w:rPr>
      </w:pP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  <w:t xml:space="preserve">Ограничения участия отдельных категорий физических лиц и юридических лиц в приватизации имущества</w:t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Покупателями государственного и муниципального имущества могут быть любые физические и юридические лица, за исключением: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государственных и муниципальных унитарных предприятий, государственных и муниципальных учреждений;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процентов;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ю</w:t>
      </w:r>
      <w:r>
        <w:rPr>
          <w:sz w:val="22"/>
          <w:szCs w:val="22"/>
          <w:highlight w:val="white"/>
        </w:rPr>
        <w:t xml:space="preserve">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</w:t>
      </w:r>
      <w:r>
        <w:rPr>
          <w:sz w:val="22"/>
          <w:szCs w:val="22"/>
          <w:highlight w:val="white"/>
        </w:rPr>
        <w:t xml:space="preserve">у</w:t>
      </w:r>
      <w:r>
        <w:rPr>
          <w:sz w:val="22"/>
          <w:szCs w:val="22"/>
          <w:highlight w:val="white"/>
        </w:rPr>
        <w:t xml:space="preserve">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бенефициарных владельцах и контролирующих лицах в порядке, </w:t>
      </w:r>
      <w:r>
        <w:rPr>
          <w:sz w:val="22"/>
          <w:szCs w:val="22"/>
          <w:highlight w:val="white"/>
        </w:rPr>
        <w:t xml:space="preserve">установленном Правительством Российской Федерации;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Понятие «контролирующее лицо» используется в том же значении, что и в статье 5 Федерального закона от 29.04.2008 № 57-ФЗ «О порядке осуществления иностранных инвестиций в хозяйственные общества, имеющие стратегическое значение для обеспечения оборо</w:t>
      </w:r>
      <w:r>
        <w:rPr>
          <w:sz w:val="22"/>
          <w:szCs w:val="22"/>
          <w:highlight w:val="white"/>
        </w:rPr>
        <w:t xml:space="preserve">ны страны и безопасности государства». Понятия «выгодоприобретатель» и «бенефициарный владелец» используются в значениях, указанных в статье 3 Федерального закона от 07.08.2001 № 115-ФЗ «О противодействии легализации (отмыванию) доходов, полученных</w:t>
      </w:r>
      <w:r>
        <w:rPr>
          <w:sz w:val="22"/>
          <w:szCs w:val="22"/>
          <w:highlight w:val="white"/>
        </w:rPr>
        <w:t xml:space="preserve"> преступным путем, и финансированию терроризма».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В случае если впоследствии будет установлено, что покупатель государственного имущества Новосибирской области не имел законного права на его приобретение, сделка признается ничтожной.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center"/>
        <w:tabs>
          <w:tab w:val="left" w:pos="284" w:leader="none"/>
        </w:tabs>
        <w:rPr>
          <w:b/>
          <w:bCs/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  <w:t xml:space="preserve">Порядок ознакомления покупателей с иной информацией, условиями договора купли-продажи имущества </w:t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ind w:firstLine="709"/>
        <w:jc w:val="center"/>
        <w:tabs>
          <w:tab w:val="left" w:pos="284" w:leader="none"/>
        </w:tabs>
        <w:rPr>
          <w:b/>
          <w:bCs/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  <w:r>
        <w:rPr>
          <w:b/>
          <w:bCs/>
          <w:sz w:val="22"/>
          <w:szCs w:val="22"/>
          <w:highlight w:val="white"/>
        </w:rPr>
      </w:r>
    </w:p>
    <w:p>
      <w:pPr>
        <w:pStyle w:val="894"/>
        <w:ind w:firstLine="709"/>
        <w:tabs>
          <w:tab w:val="left" w:pos="284" w:leader="none"/>
        </w:tabs>
        <w:rPr>
          <w:sz w:val="22"/>
          <w:szCs w:val="22"/>
          <w:highlight w:val="white"/>
        </w:rPr>
        <w:outlineLvl w:val="0"/>
      </w:pPr>
      <w:r>
        <w:rPr>
          <w:bCs/>
          <w:sz w:val="22"/>
          <w:szCs w:val="22"/>
          <w:highlight w:val="white"/>
        </w:rPr>
        <w:t xml:space="preserve">Информационное сообщение о проведении аукциона </w:t>
      </w:r>
      <w:r>
        <w:rPr>
          <w:sz w:val="22"/>
          <w:szCs w:val="22"/>
          <w:highlight w:val="white"/>
        </w:rPr>
        <w:t xml:space="preserve">размещается на официальном сайте Российской Федерации для размещения информации о проведении торгов www.torgi.gov.ru, на сайте продавца – </w:t>
      </w:r>
      <w:r>
        <w:rPr>
          <w:sz w:val="22"/>
          <w:szCs w:val="22"/>
          <w:highlight w:val="white"/>
        </w:rPr>
        <w:t xml:space="preserve">Департамента имущества и земельных отношений Новосибирской области</w:t>
      </w:r>
      <w:r>
        <w:rPr>
          <w:sz w:val="22"/>
          <w:szCs w:val="22"/>
          <w:highlight w:val="white"/>
        </w:rPr>
        <w:t xml:space="preserve"> – </w:t>
      </w:r>
      <w:hyperlink r:id="rId16" w:tooltip="http://dizo.nso.ru" w:history="1">
        <w:r>
          <w:rPr>
            <w:rStyle w:val="878"/>
            <w:sz w:val="22"/>
            <w:szCs w:val="22"/>
            <w:highlight w:val="white"/>
          </w:rPr>
          <w:t xml:space="preserve">http://dizo.nso.ru</w:t>
        </w:r>
      </w:hyperlink>
      <w:r>
        <w:rPr>
          <w:sz w:val="22"/>
          <w:szCs w:val="22"/>
          <w:highlight w:val="white"/>
        </w:rPr>
        <w:t xml:space="preserve">, </w:t>
      </w:r>
      <w:r>
        <w:rPr>
          <w:sz w:val="22"/>
          <w:szCs w:val="22"/>
          <w:highlight w:val="white"/>
        </w:rPr>
        <w:t xml:space="preserve">на сайт</w:t>
      </w:r>
      <w:r>
        <w:rPr>
          <w:sz w:val="22"/>
          <w:szCs w:val="22"/>
          <w:highlight w:val="white"/>
        </w:rPr>
        <w:t xml:space="preserve">е</w:t>
      </w:r>
      <w:r>
        <w:rPr>
          <w:sz w:val="22"/>
          <w:szCs w:val="22"/>
          <w:highlight w:val="white"/>
        </w:rPr>
        <w:t xml:space="preserve"> Правительства Новосибирской области: https://www.nso.ru</w:t>
      </w:r>
      <w:r>
        <w:rPr>
          <w:sz w:val="22"/>
          <w:szCs w:val="22"/>
          <w:highlight w:val="white"/>
        </w:rPr>
        <w:t xml:space="preserve">,</w:t>
      </w: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на электронной площадке</w:t>
      </w:r>
      <w:r>
        <w:rPr>
          <w:sz w:val="22"/>
          <w:szCs w:val="22"/>
          <w:highlight w:val="white"/>
        </w:rPr>
        <w:br/>
      </w:r>
      <w:r>
        <w:rPr>
          <w:sz w:val="22"/>
          <w:szCs w:val="22"/>
          <w:highlight w:val="white"/>
        </w:rPr>
        <w:t xml:space="preserve">«РТС-тендер</w:t>
      </w:r>
      <w:r>
        <w:rPr>
          <w:sz w:val="22"/>
          <w:szCs w:val="22"/>
          <w:highlight w:val="white"/>
        </w:rPr>
        <w:t xml:space="preserve">» </w:t>
      </w:r>
      <w:hyperlink r:id="rId17" w:tooltip="http://www.rts-tender.ru" w:history="1">
        <w:r>
          <w:rPr>
            <w:sz w:val="22"/>
            <w:szCs w:val="22"/>
            <w:highlight w:val="white"/>
          </w:rPr>
          <w:t xml:space="preserve">www.rts-tender.ru</w:t>
        </w:r>
      </w:hyperlink>
      <w:r>
        <w:rPr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Любое заинтересованное лицо независимо от регистрации на электронной площадке со дня начала приема заявок вправе направить запрос о разъяснении размещенной информации.</w:t>
      </w: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Такой запрос в режиме реального времени направляется в «личный кабинет» Продавца</w:t>
      </w:r>
      <w:r>
        <w:rPr>
          <w:sz w:val="22"/>
          <w:szCs w:val="22"/>
          <w:highlight w:val="white"/>
        </w:rPr>
        <w:br/>
      </w:r>
      <w:r>
        <w:rPr>
          <w:sz w:val="22"/>
          <w:szCs w:val="22"/>
          <w:highlight w:val="white"/>
        </w:rPr>
        <w:t xml:space="preserve">для рассмотрения при условии, что запрос поступил Продавцу не позднее 5 (пяти) рабочих дней до даты окончания подачи заявок.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94"/>
        <w:ind w:firstLine="709"/>
        <w:tabs>
          <w:tab w:val="left" w:pos="284" w:leader="none"/>
        </w:tabs>
        <w:rPr>
          <w:sz w:val="22"/>
          <w:szCs w:val="22"/>
          <w:highlight w:val="white"/>
        </w:rPr>
        <w:outlineLvl w:val="0"/>
      </w:pPr>
      <w:r>
        <w:rPr>
          <w:sz w:val="22"/>
          <w:szCs w:val="22"/>
          <w:highlight w:val="white"/>
        </w:rPr>
        <w:t xml:space="preserve">В течение 2 (двух) рабочих дней со дня поступления запроса Продавец предоставляет разъяснение с указанием предмета запроса, но без указания лица, от которого поступил запрос.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С информацией о подлежащем приватизации имуществе можно ознакомиться в период заявочной кампании, направив запрос на электронный адрес Продавца </w:t>
      </w:r>
      <w:r>
        <w:rPr>
          <w:sz w:val="22"/>
          <w:szCs w:val="22"/>
          <w:highlight w:val="white"/>
          <w:lang w:val="en-US"/>
        </w:rPr>
        <w:t xml:space="preserve">boaal</w:t>
      </w:r>
      <w:r>
        <w:rPr>
          <w:sz w:val="22"/>
          <w:szCs w:val="22"/>
          <w:highlight w:val="white"/>
        </w:rPr>
        <w:t xml:space="preserve">@</w:t>
      </w:r>
      <w:r>
        <w:rPr>
          <w:sz w:val="22"/>
          <w:szCs w:val="22"/>
          <w:highlight w:val="white"/>
          <w:lang w:val="en-US"/>
        </w:rPr>
        <w:t xml:space="preserve">nso</w:t>
      </w:r>
      <w:r>
        <w:rPr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  <w:lang w:val="en-US"/>
        </w:rPr>
        <w:t xml:space="preserve">ru</w:t>
      </w:r>
      <w:r>
        <w:rPr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По истечении 2 (двух) рабочих дней со дня поступления запроса Продавец направляет</w:t>
      </w:r>
      <w:r>
        <w:rPr>
          <w:sz w:val="22"/>
          <w:szCs w:val="22"/>
          <w:highlight w:val="white"/>
        </w:rPr>
        <w:br/>
      </w:r>
      <w:r>
        <w:rPr>
          <w:sz w:val="22"/>
          <w:szCs w:val="22"/>
          <w:highlight w:val="white"/>
        </w:rPr>
        <w:t xml:space="preserve">на электронный адрес Претендента ответ с указанием места, даты и времени выдачи документов</w:t>
      </w:r>
      <w:r>
        <w:rPr>
          <w:sz w:val="22"/>
          <w:szCs w:val="22"/>
          <w:highlight w:val="white"/>
        </w:rPr>
        <w:br/>
      </w:r>
      <w:r>
        <w:rPr>
          <w:sz w:val="22"/>
          <w:szCs w:val="22"/>
          <w:highlight w:val="white"/>
        </w:rPr>
        <w:t xml:space="preserve">для ознакомления с информацией</w:t>
      </w: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об объекте.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Любое заинтересованное лицо независимо от регистрации на электронной площадке с даты размещения информационного сообщения на официальных сайтах торгов до</w:t>
      </w:r>
      <w:r>
        <w:rPr>
          <w:sz w:val="22"/>
          <w:szCs w:val="22"/>
          <w:highlight w:val="white"/>
        </w:rPr>
        <w:t xml:space="preserve"> даты окончания срока приема заявок на участие в аукционе вправе осмотреть выставленное на продажу имущество в период приема заявок на участие в торгах. Запрос на осмотр выставленного на продажу имущества может быть направлен на электронный адрес Продавца </w:t>
      </w:r>
      <w:r>
        <w:rPr>
          <w:sz w:val="22"/>
          <w:szCs w:val="22"/>
          <w:highlight w:val="white"/>
          <w:lang w:val="en-US"/>
        </w:rPr>
        <w:t xml:space="preserve">boaal</w:t>
      </w:r>
      <w:r>
        <w:rPr>
          <w:sz w:val="22"/>
          <w:szCs w:val="22"/>
          <w:highlight w:val="white"/>
        </w:rPr>
        <w:t xml:space="preserve">@</w:t>
      </w:r>
      <w:r>
        <w:rPr>
          <w:sz w:val="22"/>
          <w:szCs w:val="22"/>
          <w:highlight w:val="white"/>
          <w:lang w:val="en-US"/>
        </w:rPr>
        <w:t xml:space="preserve">nso</w:t>
      </w:r>
      <w:r>
        <w:rPr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  <w:lang w:val="en-US"/>
        </w:rPr>
        <w:t xml:space="preserve">ru</w:t>
      </w:r>
      <w:r>
        <w:rPr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</w:rPr>
        <w:t xml:space="preserve">, не позднее чем за два рабочих дня до даты окончания срока подачи заявок на участие в аукционе.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Документооборот между Претендентами, участниками торгов, Продавцом осуществляется </w:t>
      </w:r>
      <w:r>
        <w:rPr>
          <w:sz w:val="22"/>
          <w:szCs w:val="22"/>
          <w:highlight w:val="white"/>
        </w:rPr>
        <w:t xml:space="preserve">в форм</w:t>
      </w:r>
      <w:r>
        <w:rPr>
          <w:sz w:val="22"/>
          <w:szCs w:val="22"/>
          <w:highlight w:val="white"/>
        </w:rPr>
        <w:t xml:space="preserve">е электронных документов либо электронных образов документов, заверенных электронной подписью лица, имеющего право действовать от имени Претендента и Продавца, за исключением договора купли-продажи имущества, который заключается в простой письменной форме.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Наличие электронной подписи уполномоченного (доверенног</w:t>
      </w:r>
      <w:r>
        <w:rPr>
          <w:sz w:val="22"/>
          <w:szCs w:val="22"/>
          <w:highlight w:val="white"/>
        </w:rPr>
        <w:t xml:space="preserve">о) лица означает, что документы</w:t>
      </w:r>
      <w:r>
        <w:rPr>
          <w:sz w:val="22"/>
          <w:szCs w:val="22"/>
          <w:highlight w:val="white"/>
        </w:rPr>
        <w:br/>
      </w:r>
      <w:r>
        <w:rPr>
          <w:sz w:val="22"/>
          <w:szCs w:val="22"/>
          <w:highlight w:val="white"/>
        </w:rPr>
        <w:t xml:space="preserve">и сведения, поданные в форме электронных документов, направлены от имени Претендента, участника </w:t>
      </w:r>
      <w:r>
        <w:rPr>
          <w:sz w:val="22"/>
          <w:szCs w:val="22"/>
          <w:highlight w:val="white"/>
        </w:rPr>
        <w:t xml:space="preserve">торгов, Продавца и отправитель несет</w:t>
      </w:r>
      <w:r>
        <w:rPr>
          <w:sz w:val="22"/>
          <w:szCs w:val="22"/>
          <w:highlight w:val="white"/>
        </w:rPr>
        <w:t xml:space="preserve"> ответственность за подлинность</w:t>
      </w:r>
      <w:r>
        <w:rPr>
          <w:sz w:val="22"/>
          <w:szCs w:val="22"/>
          <w:highlight w:val="white"/>
        </w:rPr>
        <w:br/>
      </w:r>
      <w:r>
        <w:rPr>
          <w:sz w:val="22"/>
          <w:szCs w:val="22"/>
          <w:highlight w:val="white"/>
        </w:rPr>
        <w:t xml:space="preserve">и достоверность таких документов и сведений. 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С формой заявки, условиями договора купли-продажи, а также с иными находящимися</w:t>
      </w:r>
      <w:r>
        <w:rPr>
          <w:sz w:val="22"/>
          <w:szCs w:val="22"/>
          <w:highlight w:val="white"/>
        </w:rPr>
        <w:br/>
      </w:r>
      <w:r>
        <w:rPr>
          <w:sz w:val="22"/>
          <w:szCs w:val="22"/>
          <w:highlight w:val="white"/>
        </w:rPr>
        <w:t xml:space="preserve">в распоряжении Продавца документами сведениями об имуществе покупатели могут ознакомиться</w:t>
      </w:r>
      <w:r>
        <w:rPr>
          <w:sz w:val="22"/>
          <w:szCs w:val="22"/>
          <w:highlight w:val="white"/>
        </w:rPr>
        <w:br/>
      </w:r>
      <w:r>
        <w:rPr>
          <w:sz w:val="22"/>
          <w:szCs w:val="22"/>
          <w:highlight w:val="white"/>
        </w:rPr>
        <w:t xml:space="preserve">по адресу:</w:t>
      </w: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630011, Красный проспект, 18, каб. 220</w:t>
      </w:r>
      <w:r>
        <w:rPr>
          <w:sz w:val="22"/>
          <w:szCs w:val="22"/>
          <w:highlight w:val="white"/>
        </w:rPr>
        <w:t xml:space="preserve">. </w:t>
      </w:r>
      <w:r>
        <w:rPr>
          <w:sz w:val="22"/>
          <w:szCs w:val="22"/>
          <w:highlight w:val="white"/>
        </w:rPr>
        <w:t xml:space="preserve">Телефоны: 8 (</w:t>
      </w:r>
      <w:r>
        <w:rPr>
          <w:sz w:val="22"/>
          <w:szCs w:val="22"/>
          <w:highlight w:val="white"/>
        </w:rPr>
        <w:t xml:space="preserve">383</w:t>
      </w:r>
      <w:r>
        <w:rPr>
          <w:sz w:val="22"/>
          <w:szCs w:val="22"/>
          <w:highlight w:val="white"/>
        </w:rPr>
        <w:t xml:space="preserve">) </w:t>
      </w:r>
      <w:r>
        <w:rPr>
          <w:sz w:val="22"/>
          <w:szCs w:val="22"/>
          <w:highlight w:val="white"/>
        </w:rPr>
        <w:t xml:space="preserve">238-60-50, </w:t>
      </w:r>
      <w:r>
        <w:rPr>
          <w:sz w:val="22"/>
          <w:szCs w:val="22"/>
          <w:highlight w:val="white"/>
        </w:rPr>
        <w:t xml:space="preserve">238-60-52</w:t>
      </w:r>
      <w:r>
        <w:rPr>
          <w:sz w:val="22"/>
          <w:szCs w:val="22"/>
          <w:highlight w:val="white"/>
        </w:rPr>
        <w:t xml:space="preserve">.</w:t>
      </w:r>
      <w:r>
        <w:rPr>
          <w:sz w:val="22"/>
          <w:szCs w:val="22"/>
          <w:highlight w:val="white"/>
        </w:rPr>
        <w:t xml:space="preserve"> </w:t>
      </w:r>
      <w:r>
        <w:rPr>
          <w:sz w:val="22"/>
          <w:szCs w:val="22"/>
          <w:highlight w:val="white"/>
        </w:rPr>
        <w:t xml:space="preserve">Адрес электронной почты: </w:t>
      </w:r>
      <w:r>
        <w:rPr>
          <w:sz w:val="22"/>
          <w:szCs w:val="22"/>
          <w:highlight w:val="white"/>
          <w:lang w:val="en-US"/>
        </w:rPr>
      </w:r>
      <w:hyperlink r:id="rId18" w:tooltip="http://boaal@nso.ru" w:history="1">
        <w:r>
          <w:rPr>
            <w:rStyle w:val="878"/>
            <w:sz w:val="22"/>
            <w:szCs w:val="22"/>
            <w:highlight w:val="white"/>
            <w:lang w:val="en-US"/>
          </w:rPr>
          <w:t xml:space="preserve">boaal</w:t>
        </w:r>
        <w:r>
          <w:rPr>
            <w:rStyle w:val="878"/>
            <w:sz w:val="22"/>
            <w:szCs w:val="22"/>
            <w:highlight w:val="white"/>
          </w:rPr>
          <w:t xml:space="preserve">@</w:t>
        </w:r>
        <w:r>
          <w:rPr>
            <w:rStyle w:val="878"/>
            <w:sz w:val="22"/>
            <w:szCs w:val="22"/>
            <w:highlight w:val="white"/>
            <w:lang w:val="en-US"/>
          </w:rPr>
          <w:t xml:space="preserve">nso</w:t>
        </w:r>
        <w:r>
          <w:rPr>
            <w:rStyle w:val="878"/>
            <w:sz w:val="22"/>
            <w:szCs w:val="22"/>
            <w:highlight w:val="white"/>
          </w:rPr>
          <w:t xml:space="preserve">.ru</w:t>
        </w:r>
        <w:r>
          <w:rPr>
            <w:rStyle w:val="878"/>
            <w:sz w:val="22"/>
            <w:szCs w:val="22"/>
            <w:highlight w:val="white"/>
          </w:rPr>
        </w:r>
        <w:r>
          <w:rPr>
            <w:rStyle w:val="878"/>
            <w:sz w:val="22"/>
            <w:szCs w:val="22"/>
            <w:highlight w:val="white"/>
          </w:rPr>
        </w:r>
        <w:r>
          <w:rPr>
            <w:rStyle w:val="878"/>
            <w:sz w:val="22"/>
            <w:szCs w:val="22"/>
            <w:highlight w:val="white"/>
          </w:rPr>
        </w:r>
      </w:hyperlink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874"/>
        <w:spacing w:before="0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  <w:t xml:space="preserve">Проект договора купли-продажи имущества содержится в документации об аукционе.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  <w:highlight w:val="none"/>
        </w:rPr>
      </w:pP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pStyle w:val="874"/>
        <w:spacing w:before="0"/>
        <w:rPr>
          <w:sz w:val="22"/>
          <w:szCs w:val="22"/>
          <w:highlight w:val="none"/>
        </w:rPr>
      </w:pPr>
      <w:r>
        <w:rPr>
          <w:sz w:val="22"/>
          <w:szCs w:val="22"/>
        </w:rPr>
        <w:t xml:space="preserve">Информация о продаже имущества на аукционе опубликована на официальном сайте Российской Федерации для размещения информации о проведении торгов www.torgi.gov.ru, </w:t>
      </w:r>
      <w:r>
        <w:rPr>
          <w:sz w:val="22"/>
          <w:szCs w:val="22"/>
        </w:rPr>
        <w:t xml:space="preserve">на сайт</w:t>
      </w:r>
      <w:r>
        <w:rPr>
          <w:sz w:val="22"/>
          <w:szCs w:val="22"/>
        </w:rPr>
        <w:t xml:space="preserve">е</w:t>
      </w:r>
      <w:r>
        <w:rPr>
          <w:sz w:val="22"/>
          <w:szCs w:val="22"/>
        </w:rPr>
        <w:t xml:space="preserve"> Правительства Новосибирской области: https://www.nso.ru</w:t>
      </w:r>
      <w:r>
        <w:rPr>
          <w:sz w:val="22"/>
          <w:szCs w:val="22"/>
        </w:rPr>
        <w:t xml:space="preserve">,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на электронной торговой площадке ООО «РТС-тендер» </w:t>
      </w:r>
      <w:hyperlink r:id="rId19" w:tooltip="https://www.lot-online.ru/" w:history="1">
        <w:r>
          <w:rPr>
            <w:sz w:val="22"/>
            <w:szCs w:val="22"/>
          </w:rPr>
          <w:t xml:space="preserve">https:</w:t>
        </w:r>
        <w:r>
          <w:rPr>
            <w:sz w:val="22"/>
            <w:szCs w:val="22"/>
          </w:rPr>
          <w:t xml:space="preserve">//</w:t>
        </w:r>
        <w:r>
          <w:rPr>
            <w:sz w:val="22"/>
            <w:szCs w:val="22"/>
          </w:rPr>
          <w:t xml:space="preserve">www.rts-tender.ru</w:t>
        </w:r>
        <w:r>
          <w:rPr>
            <w:sz w:val="22"/>
            <w:szCs w:val="22"/>
          </w:rPr>
          <w:t xml:space="preserve">/</w:t>
        </w:r>
      </w:hyperlink>
      <w:r>
        <w:rPr>
          <w:sz w:val="22"/>
          <w:szCs w:val="22"/>
        </w:rPr>
        <w:t xml:space="preserve">.</w:t>
      </w:r>
      <w:r>
        <w:rPr>
          <w:sz w:val="22"/>
          <w:szCs w:val="22"/>
          <w:highlight w:val="none"/>
        </w:rPr>
      </w:r>
      <w:r>
        <w:rPr>
          <w:sz w:val="22"/>
          <w:szCs w:val="22"/>
          <w:highlight w:val="none"/>
        </w:rPr>
      </w:r>
    </w:p>
    <w:p>
      <w:pPr>
        <w:ind w:firstLine="709"/>
        <w:jc w:val="both"/>
        <w:tabs>
          <w:tab w:val="left" w:pos="284" w:leader="none"/>
        </w:tabs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74"/>
        <w:spacing w:before="0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74"/>
        <w:spacing w:before="0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sectPr>
      <w:headerReference w:type="default" r:id="rId9"/>
      <w:headerReference w:type="first" r:id="rId10"/>
      <w:footerReference w:type="first" r:id="rId11"/>
      <w:footnotePr/>
      <w:endnotePr/>
      <w:type w:val="nextPage"/>
      <w:pgSz w:w="11906" w:h="16838" w:orient="portrait"/>
      <w:pgMar w:top="1134" w:right="567" w:bottom="1134" w:left="1417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Segoe UI">
    <w:panose1 w:val="020B0502040504020204"/>
  </w:font>
  <w:font w:name="Cambria">
    <w:panose1 w:val="02040503050406030204"/>
  </w:font>
  <w:font w:name="Times New Roman">
    <w:panose1 w:val="02020603050405020304"/>
  </w:font>
  <w:font w:name="Arial">
    <w:panose1 w:val="020B060402020202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21"/>
      <w:jc w:val="center"/>
    </w:pPr>
    <w:fldSimple w:instr="PAGE \* MERGEFORMAT">
      <w:r>
        <w:rPr>
          <w:sz w:val="16"/>
          <w:szCs w:val="16"/>
        </w:rPr>
        <w:t xml:space="preserve">1</w:t>
      </w:r>
    </w:fldSimple>
    <w:r>
      <w:rPr>
        <w:sz w:val="16"/>
        <w:szCs w:val="16"/>
      </w:rPr>
    </w:r>
    <w:r>
      <w:rPr>
        <w:sz w:val="16"/>
        <w:szCs w:val="16"/>
      </w:rPr>
    </w:r>
    <w:r/>
  </w:p>
  <w:p>
    <w:pPr>
      <w:pStyle w:val="721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21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94">
    <w:name w:val="Heading 1 Char"/>
    <w:basedOn w:val="871"/>
    <w:link w:val="870"/>
    <w:uiPriority w:val="9"/>
    <w:rPr>
      <w:rFonts w:ascii="Arial" w:hAnsi="Arial" w:eastAsia="Arial" w:cs="Arial"/>
      <w:sz w:val="40"/>
      <w:szCs w:val="40"/>
    </w:rPr>
  </w:style>
  <w:style w:type="paragraph" w:styleId="695">
    <w:name w:val="Heading 2"/>
    <w:basedOn w:val="869"/>
    <w:next w:val="869"/>
    <w:link w:val="69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6">
    <w:name w:val="Heading 2 Char"/>
    <w:basedOn w:val="871"/>
    <w:link w:val="695"/>
    <w:uiPriority w:val="9"/>
    <w:rPr>
      <w:rFonts w:ascii="Arial" w:hAnsi="Arial" w:eastAsia="Arial" w:cs="Arial"/>
      <w:sz w:val="34"/>
    </w:rPr>
  </w:style>
  <w:style w:type="paragraph" w:styleId="697">
    <w:name w:val="Heading 3"/>
    <w:basedOn w:val="869"/>
    <w:next w:val="869"/>
    <w:link w:val="69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8">
    <w:name w:val="Heading 3 Char"/>
    <w:basedOn w:val="871"/>
    <w:link w:val="697"/>
    <w:uiPriority w:val="9"/>
    <w:rPr>
      <w:rFonts w:ascii="Arial" w:hAnsi="Arial" w:eastAsia="Arial" w:cs="Arial"/>
      <w:sz w:val="30"/>
      <w:szCs w:val="30"/>
    </w:rPr>
  </w:style>
  <w:style w:type="paragraph" w:styleId="699">
    <w:name w:val="Heading 4"/>
    <w:basedOn w:val="869"/>
    <w:next w:val="869"/>
    <w:link w:val="70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0">
    <w:name w:val="Heading 4 Char"/>
    <w:basedOn w:val="871"/>
    <w:link w:val="699"/>
    <w:uiPriority w:val="9"/>
    <w:rPr>
      <w:rFonts w:ascii="Arial" w:hAnsi="Arial" w:eastAsia="Arial" w:cs="Arial"/>
      <w:b/>
      <w:bCs/>
      <w:sz w:val="26"/>
      <w:szCs w:val="26"/>
    </w:rPr>
  </w:style>
  <w:style w:type="paragraph" w:styleId="701">
    <w:name w:val="Heading 5"/>
    <w:basedOn w:val="869"/>
    <w:next w:val="869"/>
    <w:link w:val="70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2">
    <w:name w:val="Heading 5 Char"/>
    <w:basedOn w:val="871"/>
    <w:link w:val="701"/>
    <w:uiPriority w:val="9"/>
    <w:rPr>
      <w:rFonts w:ascii="Arial" w:hAnsi="Arial" w:eastAsia="Arial" w:cs="Arial"/>
      <w:b/>
      <w:bCs/>
      <w:sz w:val="24"/>
      <w:szCs w:val="24"/>
    </w:rPr>
  </w:style>
  <w:style w:type="paragraph" w:styleId="703">
    <w:name w:val="Heading 6"/>
    <w:basedOn w:val="869"/>
    <w:next w:val="869"/>
    <w:link w:val="70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4">
    <w:name w:val="Heading 6 Char"/>
    <w:basedOn w:val="871"/>
    <w:link w:val="703"/>
    <w:uiPriority w:val="9"/>
    <w:rPr>
      <w:rFonts w:ascii="Arial" w:hAnsi="Arial" w:eastAsia="Arial" w:cs="Arial"/>
      <w:b/>
      <w:bCs/>
      <w:sz w:val="22"/>
      <w:szCs w:val="22"/>
    </w:rPr>
  </w:style>
  <w:style w:type="paragraph" w:styleId="705">
    <w:name w:val="Heading 7"/>
    <w:basedOn w:val="869"/>
    <w:next w:val="869"/>
    <w:link w:val="70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6">
    <w:name w:val="Heading 7 Char"/>
    <w:basedOn w:val="871"/>
    <w:link w:val="70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7">
    <w:name w:val="Heading 8"/>
    <w:basedOn w:val="869"/>
    <w:next w:val="869"/>
    <w:link w:val="70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8">
    <w:name w:val="Heading 8 Char"/>
    <w:basedOn w:val="871"/>
    <w:link w:val="707"/>
    <w:uiPriority w:val="9"/>
    <w:rPr>
      <w:rFonts w:ascii="Arial" w:hAnsi="Arial" w:eastAsia="Arial" w:cs="Arial"/>
      <w:i/>
      <w:iCs/>
      <w:sz w:val="22"/>
      <w:szCs w:val="22"/>
    </w:rPr>
  </w:style>
  <w:style w:type="paragraph" w:styleId="709">
    <w:name w:val="Heading 9"/>
    <w:basedOn w:val="869"/>
    <w:next w:val="869"/>
    <w:link w:val="71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0">
    <w:name w:val="Heading 9 Char"/>
    <w:basedOn w:val="871"/>
    <w:link w:val="709"/>
    <w:uiPriority w:val="9"/>
    <w:rPr>
      <w:rFonts w:ascii="Arial" w:hAnsi="Arial" w:eastAsia="Arial" w:cs="Arial"/>
      <w:i/>
      <w:iCs/>
      <w:sz w:val="21"/>
      <w:szCs w:val="21"/>
    </w:rPr>
  </w:style>
  <w:style w:type="paragraph" w:styleId="711">
    <w:name w:val="List Paragraph"/>
    <w:basedOn w:val="869"/>
    <w:uiPriority w:val="34"/>
    <w:qFormat/>
    <w:pPr>
      <w:contextualSpacing/>
      <w:ind w:left="720"/>
    </w:pPr>
  </w:style>
  <w:style w:type="paragraph" w:styleId="712">
    <w:name w:val="No Spacing"/>
    <w:uiPriority w:val="1"/>
    <w:qFormat/>
    <w:pPr>
      <w:spacing w:before="0" w:after="0" w:line="240" w:lineRule="auto"/>
    </w:pPr>
  </w:style>
  <w:style w:type="paragraph" w:styleId="713">
    <w:name w:val="Title"/>
    <w:basedOn w:val="869"/>
    <w:next w:val="869"/>
    <w:link w:val="71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4">
    <w:name w:val="Title Char"/>
    <w:basedOn w:val="871"/>
    <w:link w:val="713"/>
    <w:uiPriority w:val="10"/>
    <w:rPr>
      <w:sz w:val="48"/>
      <w:szCs w:val="48"/>
    </w:rPr>
  </w:style>
  <w:style w:type="paragraph" w:styleId="715">
    <w:name w:val="Subtitle"/>
    <w:basedOn w:val="869"/>
    <w:next w:val="869"/>
    <w:link w:val="716"/>
    <w:uiPriority w:val="11"/>
    <w:qFormat/>
    <w:pPr>
      <w:spacing w:before="200" w:after="200"/>
    </w:pPr>
    <w:rPr>
      <w:sz w:val="24"/>
      <w:szCs w:val="24"/>
    </w:rPr>
  </w:style>
  <w:style w:type="character" w:styleId="716">
    <w:name w:val="Subtitle Char"/>
    <w:basedOn w:val="871"/>
    <w:link w:val="715"/>
    <w:uiPriority w:val="11"/>
    <w:rPr>
      <w:sz w:val="24"/>
      <w:szCs w:val="24"/>
    </w:rPr>
  </w:style>
  <w:style w:type="paragraph" w:styleId="717">
    <w:name w:val="Quote"/>
    <w:basedOn w:val="869"/>
    <w:next w:val="869"/>
    <w:link w:val="718"/>
    <w:uiPriority w:val="29"/>
    <w:qFormat/>
    <w:pPr>
      <w:ind w:left="720" w:right="720"/>
    </w:pPr>
    <w:rPr>
      <w:i/>
    </w:rPr>
  </w:style>
  <w:style w:type="character" w:styleId="718">
    <w:name w:val="Quote Char"/>
    <w:link w:val="717"/>
    <w:uiPriority w:val="29"/>
    <w:rPr>
      <w:i/>
    </w:rPr>
  </w:style>
  <w:style w:type="paragraph" w:styleId="719">
    <w:name w:val="Intense Quote"/>
    <w:basedOn w:val="869"/>
    <w:next w:val="869"/>
    <w:link w:val="72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0">
    <w:name w:val="Intense Quote Char"/>
    <w:link w:val="719"/>
    <w:uiPriority w:val="30"/>
    <w:rPr>
      <w:i/>
    </w:rPr>
  </w:style>
  <w:style w:type="paragraph" w:styleId="721">
    <w:name w:val="Header"/>
    <w:basedOn w:val="869"/>
    <w:link w:val="72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2">
    <w:name w:val="Header Char"/>
    <w:basedOn w:val="871"/>
    <w:link w:val="721"/>
    <w:uiPriority w:val="99"/>
  </w:style>
  <w:style w:type="character" w:styleId="723">
    <w:name w:val="Footer Char"/>
    <w:basedOn w:val="871"/>
    <w:link w:val="890"/>
    <w:uiPriority w:val="99"/>
  </w:style>
  <w:style w:type="paragraph" w:styleId="724">
    <w:name w:val="Caption"/>
    <w:basedOn w:val="869"/>
    <w:next w:val="86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5">
    <w:name w:val="Caption Char"/>
    <w:basedOn w:val="724"/>
    <w:link w:val="890"/>
    <w:uiPriority w:val="99"/>
  </w:style>
  <w:style w:type="table" w:styleId="726">
    <w:name w:val="Table Grid"/>
    <w:basedOn w:val="87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7">
    <w:name w:val="Table Grid Light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8">
    <w:name w:val="Plain Table 1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9">
    <w:name w:val="Plain Table 2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0">
    <w:name w:val="Plain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1">
    <w:name w:val="Plain Table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Plain Table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3">
    <w:name w:val="Grid Table 1 Light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Grid Table 1 Light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1 Light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2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2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4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5">
    <w:name w:val="Grid Table 4 - Accent 1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6">
    <w:name w:val="Grid Table 4 - Accent 2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7">
    <w:name w:val="Grid Table 4 - Accent 3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8">
    <w:name w:val="Grid Table 4 - Accent 4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59">
    <w:name w:val="Grid Table 4 - Accent 5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0">
    <w:name w:val="Grid Table 4 - Accent 6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1">
    <w:name w:val="Grid Table 5 Dark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2">
    <w:name w:val="Grid Table 5 Dark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3">
    <w:name w:val="Grid Table 5 Dark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4">
    <w:name w:val="Grid Table 5 Dark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5">
    <w:name w:val="Grid Table 5 Dark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6">
    <w:name w:val="Grid Table 5 Dark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7">
    <w:name w:val="Grid Table 5 Dark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68">
    <w:name w:val="Grid Table 6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9">
    <w:name w:val="Grid Table 6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0">
    <w:name w:val="Grid Table 6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1">
    <w:name w:val="Grid Table 6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2">
    <w:name w:val="Grid Table 6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3">
    <w:name w:val="Grid Table 6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4">
    <w:name w:val="Grid Table 6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5">
    <w:name w:val="Grid Table 7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7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7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1 Light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0">
    <w:name w:val="List Table 2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1">
    <w:name w:val="List Table 2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2">
    <w:name w:val="List Table 2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3">
    <w:name w:val="List Table 2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4">
    <w:name w:val="List Table 2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5">
    <w:name w:val="List Table 2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6">
    <w:name w:val="List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3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3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5 Dark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1">
    <w:name w:val="List Table 5 Dark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5 Dark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6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8">
    <w:name w:val="List Table 6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9">
    <w:name w:val="List Table 6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0">
    <w:name w:val="List Table 6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1">
    <w:name w:val="List Table 6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2">
    <w:name w:val="List Table 6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3">
    <w:name w:val="List Table 6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4">
    <w:name w:val="List Table 7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5">
    <w:name w:val="List Table 7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6">
    <w:name w:val="List Table 7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7">
    <w:name w:val="List Table 7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28">
    <w:name w:val="List Table 7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29">
    <w:name w:val="List Table 7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0">
    <w:name w:val="List Table 7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1">
    <w:name w:val="Lined - Accent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2">
    <w:name w:val="Lined - Accent 1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3">
    <w:name w:val="Lined - Accent 2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4">
    <w:name w:val="Lined - Accent 3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5">
    <w:name w:val="Lined - Accent 4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6">
    <w:name w:val="Lined - Accent 5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7">
    <w:name w:val="Lined - Accent 6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8">
    <w:name w:val="Bordered &amp; Lined - Accent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9">
    <w:name w:val="Bordered &amp; Lined - Accent 1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0">
    <w:name w:val="Bordered &amp; Lined - Accent 2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1">
    <w:name w:val="Bordered &amp; Lined - Accent 3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2">
    <w:name w:val="Bordered &amp; Lined - Accent 4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3">
    <w:name w:val="Bordered &amp; Lined - Accent 5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4">
    <w:name w:val="Bordered &amp; Lined - Accent 6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5">
    <w:name w:val="Bordered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6">
    <w:name w:val="Bordered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7">
    <w:name w:val="Bordered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8">
    <w:name w:val="Bordered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49">
    <w:name w:val="Bordered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0">
    <w:name w:val="Bordered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1">
    <w:name w:val="Bordered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52">
    <w:name w:val="footnote text"/>
    <w:basedOn w:val="869"/>
    <w:link w:val="853"/>
    <w:uiPriority w:val="99"/>
    <w:semiHidden/>
    <w:unhideWhenUsed/>
    <w:pPr>
      <w:spacing w:after="40" w:line="240" w:lineRule="auto"/>
    </w:pPr>
    <w:rPr>
      <w:sz w:val="18"/>
    </w:rPr>
  </w:style>
  <w:style w:type="character" w:styleId="853">
    <w:name w:val="Footnote Text Char"/>
    <w:link w:val="852"/>
    <w:uiPriority w:val="99"/>
    <w:rPr>
      <w:sz w:val="18"/>
    </w:rPr>
  </w:style>
  <w:style w:type="character" w:styleId="854">
    <w:name w:val="footnote reference"/>
    <w:basedOn w:val="871"/>
    <w:uiPriority w:val="99"/>
    <w:unhideWhenUsed/>
    <w:rPr>
      <w:vertAlign w:val="superscript"/>
    </w:rPr>
  </w:style>
  <w:style w:type="paragraph" w:styleId="855">
    <w:name w:val="endnote text"/>
    <w:basedOn w:val="869"/>
    <w:link w:val="856"/>
    <w:uiPriority w:val="99"/>
    <w:semiHidden/>
    <w:unhideWhenUsed/>
    <w:pPr>
      <w:spacing w:after="0" w:line="240" w:lineRule="auto"/>
    </w:pPr>
    <w:rPr>
      <w:sz w:val="20"/>
    </w:rPr>
  </w:style>
  <w:style w:type="character" w:styleId="856">
    <w:name w:val="Endnote Text Char"/>
    <w:link w:val="855"/>
    <w:uiPriority w:val="99"/>
    <w:rPr>
      <w:sz w:val="20"/>
    </w:rPr>
  </w:style>
  <w:style w:type="character" w:styleId="857">
    <w:name w:val="endnote reference"/>
    <w:basedOn w:val="871"/>
    <w:uiPriority w:val="99"/>
    <w:semiHidden/>
    <w:unhideWhenUsed/>
    <w:rPr>
      <w:vertAlign w:val="superscript"/>
    </w:rPr>
  </w:style>
  <w:style w:type="paragraph" w:styleId="858">
    <w:name w:val="toc 1"/>
    <w:basedOn w:val="869"/>
    <w:next w:val="869"/>
    <w:uiPriority w:val="39"/>
    <w:unhideWhenUsed/>
    <w:pPr>
      <w:ind w:left="0" w:right="0" w:firstLine="0"/>
      <w:spacing w:after="57"/>
    </w:pPr>
  </w:style>
  <w:style w:type="paragraph" w:styleId="859">
    <w:name w:val="toc 2"/>
    <w:basedOn w:val="869"/>
    <w:next w:val="869"/>
    <w:uiPriority w:val="39"/>
    <w:unhideWhenUsed/>
    <w:pPr>
      <w:ind w:left="283" w:right="0" w:firstLine="0"/>
      <w:spacing w:after="57"/>
    </w:pPr>
  </w:style>
  <w:style w:type="paragraph" w:styleId="860">
    <w:name w:val="toc 3"/>
    <w:basedOn w:val="869"/>
    <w:next w:val="869"/>
    <w:uiPriority w:val="39"/>
    <w:unhideWhenUsed/>
    <w:pPr>
      <w:ind w:left="567" w:right="0" w:firstLine="0"/>
      <w:spacing w:after="57"/>
    </w:pPr>
  </w:style>
  <w:style w:type="paragraph" w:styleId="861">
    <w:name w:val="toc 4"/>
    <w:basedOn w:val="869"/>
    <w:next w:val="869"/>
    <w:uiPriority w:val="39"/>
    <w:unhideWhenUsed/>
    <w:pPr>
      <w:ind w:left="850" w:right="0" w:firstLine="0"/>
      <w:spacing w:after="57"/>
    </w:pPr>
  </w:style>
  <w:style w:type="paragraph" w:styleId="862">
    <w:name w:val="toc 5"/>
    <w:basedOn w:val="869"/>
    <w:next w:val="869"/>
    <w:uiPriority w:val="39"/>
    <w:unhideWhenUsed/>
    <w:pPr>
      <w:ind w:left="1134" w:right="0" w:firstLine="0"/>
      <w:spacing w:after="57"/>
    </w:pPr>
  </w:style>
  <w:style w:type="paragraph" w:styleId="863">
    <w:name w:val="toc 6"/>
    <w:basedOn w:val="869"/>
    <w:next w:val="869"/>
    <w:uiPriority w:val="39"/>
    <w:unhideWhenUsed/>
    <w:pPr>
      <w:ind w:left="1417" w:right="0" w:firstLine="0"/>
      <w:spacing w:after="57"/>
    </w:pPr>
  </w:style>
  <w:style w:type="paragraph" w:styleId="864">
    <w:name w:val="toc 7"/>
    <w:basedOn w:val="869"/>
    <w:next w:val="869"/>
    <w:uiPriority w:val="39"/>
    <w:unhideWhenUsed/>
    <w:pPr>
      <w:ind w:left="1701" w:right="0" w:firstLine="0"/>
      <w:spacing w:after="57"/>
    </w:pPr>
  </w:style>
  <w:style w:type="paragraph" w:styleId="865">
    <w:name w:val="toc 8"/>
    <w:basedOn w:val="869"/>
    <w:next w:val="869"/>
    <w:uiPriority w:val="39"/>
    <w:unhideWhenUsed/>
    <w:pPr>
      <w:ind w:left="1984" w:right="0" w:firstLine="0"/>
      <w:spacing w:after="57"/>
    </w:pPr>
  </w:style>
  <w:style w:type="paragraph" w:styleId="866">
    <w:name w:val="toc 9"/>
    <w:basedOn w:val="869"/>
    <w:next w:val="869"/>
    <w:uiPriority w:val="39"/>
    <w:unhideWhenUsed/>
    <w:pPr>
      <w:ind w:left="2268" w:right="0" w:firstLine="0"/>
      <w:spacing w:after="57"/>
    </w:pPr>
  </w:style>
  <w:style w:type="paragraph" w:styleId="867">
    <w:name w:val="TOC Heading"/>
    <w:uiPriority w:val="39"/>
    <w:unhideWhenUsed/>
  </w:style>
  <w:style w:type="paragraph" w:styleId="868">
    <w:name w:val="table of figures"/>
    <w:basedOn w:val="869"/>
    <w:next w:val="869"/>
    <w:uiPriority w:val="99"/>
    <w:unhideWhenUsed/>
    <w:pPr>
      <w:spacing w:after="0" w:afterAutospacing="0"/>
    </w:pPr>
  </w:style>
  <w:style w:type="paragraph" w:styleId="869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70">
    <w:name w:val="Heading 1"/>
    <w:basedOn w:val="869"/>
    <w:next w:val="869"/>
    <w:link w:val="879"/>
    <w:uiPriority w:val="99"/>
    <w:qFormat/>
    <w:pPr>
      <w:keepLines/>
      <w:keepNext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styleId="871" w:default="1">
    <w:name w:val="Default Paragraph Font"/>
    <w:uiPriority w:val="1"/>
    <w:semiHidden/>
    <w:unhideWhenUsed/>
  </w:style>
  <w:style w:type="table" w:styleId="87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73" w:default="1">
    <w:name w:val="No List"/>
    <w:uiPriority w:val="99"/>
    <w:semiHidden/>
    <w:unhideWhenUsed/>
  </w:style>
  <w:style w:type="paragraph" w:styleId="874" w:customStyle="1">
    <w:name w:val="стандарт1"/>
    <w:basedOn w:val="875"/>
    <w:pPr>
      <w:ind w:left="0" w:firstLine="709"/>
      <w:jc w:val="both"/>
      <w:spacing w:before="120"/>
    </w:pPr>
    <w:rPr>
      <w:sz w:val="28"/>
    </w:rPr>
  </w:style>
  <w:style w:type="paragraph" w:styleId="875">
    <w:name w:val="Normal Indent"/>
    <w:basedOn w:val="869"/>
    <w:uiPriority w:val="99"/>
    <w:semiHidden/>
    <w:unhideWhenUsed/>
    <w:pPr>
      <w:ind w:left="708"/>
    </w:pPr>
  </w:style>
  <w:style w:type="paragraph" w:styleId="876">
    <w:name w:val="Body Text Indent"/>
    <w:basedOn w:val="869"/>
    <w:link w:val="877"/>
    <w:uiPriority w:val="99"/>
    <w:pPr>
      <w:ind w:left="720" w:firstLine="131"/>
      <w:jc w:val="both"/>
      <w:spacing w:line="360" w:lineRule="auto"/>
    </w:pPr>
    <w:rPr>
      <w:sz w:val="24"/>
    </w:rPr>
  </w:style>
  <w:style w:type="character" w:styleId="877" w:customStyle="1">
    <w:name w:val="Основной текст с отступом Знак"/>
    <w:basedOn w:val="871"/>
    <w:link w:val="876"/>
    <w:uiPriority w:val="99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878">
    <w:name w:val="Hyperlink"/>
    <w:basedOn w:val="871"/>
    <w:uiPriority w:val="99"/>
    <w:unhideWhenUsed/>
    <w:rPr>
      <w:color w:val="0000ff"/>
      <w:u w:val="single"/>
    </w:rPr>
  </w:style>
  <w:style w:type="character" w:styleId="879" w:customStyle="1">
    <w:name w:val="Заголовок 1 Знак"/>
    <w:basedOn w:val="871"/>
    <w:link w:val="870"/>
    <w:uiPriority w:val="99"/>
    <w:rPr>
      <w:rFonts w:ascii="Cambria" w:hAnsi="Cambria" w:eastAsia="Times New Roman" w:cs="Times New Roman"/>
      <w:b/>
      <w:bCs/>
      <w:color w:val="365f91"/>
      <w:sz w:val="28"/>
      <w:szCs w:val="28"/>
      <w:lang w:eastAsia="ru-RU"/>
    </w:rPr>
  </w:style>
  <w:style w:type="character" w:styleId="880">
    <w:name w:val="annotation reference"/>
    <w:basedOn w:val="871"/>
    <w:uiPriority w:val="99"/>
    <w:semiHidden/>
    <w:unhideWhenUsed/>
    <w:rPr>
      <w:sz w:val="16"/>
      <w:szCs w:val="16"/>
    </w:rPr>
  </w:style>
  <w:style w:type="paragraph" w:styleId="881">
    <w:name w:val="annotation text"/>
    <w:basedOn w:val="869"/>
    <w:link w:val="882"/>
    <w:uiPriority w:val="99"/>
    <w:semiHidden/>
    <w:unhideWhenUsed/>
  </w:style>
  <w:style w:type="character" w:styleId="882" w:customStyle="1">
    <w:name w:val="Текст примечания Знак"/>
    <w:basedOn w:val="871"/>
    <w:link w:val="881"/>
    <w:uiPriority w:val="99"/>
    <w:semiHidden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83">
    <w:name w:val="annotation subject"/>
    <w:basedOn w:val="881"/>
    <w:next w:val="881"/>
    <w:link w:val="884"/>
    <w:uiPriority w:val="99"/>
    <w:semiHidden/>
    <w:unhideWhenUsed/>
    <w:rPr>
      <w:b/>
      <w:bCs/>
    </w:rPr>
  </w:style>
  <w:style w:type="character" w:styleId="884" w:customStyle="1">
    <w:name w:val="Тема примечания Знак"/>
    <w:basedOn w:val="882"/>
    <w:link w:val="883"/>
    <w:uiPriority w:val="99"/>
    <w:semiHidden/>
    <w:rPr>
      <w:rFonts w:ascii="Times New Roman" w:hAnsi="Times New Roman" w:eastAsia="Times New Roman" w:cs="Times New Roman"/>
      <w:b/>
      <w:bCs/>
      <w:sz w:val="20"/>
      <w:szCs w:val="20"/>
      <w:lang w:eastAsia="ru-RU"/>
    </w:rPr>
  </w:style>
  <w:style w:type="paragraph" w:styleId="885">
    <w:name w:val="Balloon Text"/>
    <w:basedOn w:val="869"/>
    <w:link w:val="886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886" w:customStyle="1">
    <w:name w:val="Текст выноски Знак"/>
    <w:basedOn w:val="871"/>
    <w:link w:val="885"/>
    <w:uiPriority w:val="99"/>
    <w:semiHidden/>
    <w:rPr>
      <w:rFonts w:ascii="Segoe UI" w:hAnsi="Segoe UI" w:eastAsia="Times New Roman" w:cs="Segoe UI"/>
      <w:sz w:val="18"/>
      <w:szCs w:val="18"/>
      <w:lang w:eastAsia="ru-RU"/>
    </w:rPr>
  </w:style>
  <w:style w:type="paragraph" w:styleId="887">
    <w:name w:val="Body Text"/>
    <w:basedOn w:val="869"/>
    <w:link w:val="888"/>
    <w:uiPriority w:val="99"/>
    <w:semiHidden/>
    <w:unhideWhenUsed/>
    <w:pPr>
      <w:spacing w:after="120"/>
    </w:pPr>
  </w:style>
  <w:style w:type="character" w:styleId="888" w:customStyle="1">
    <w:name w:val="Основной текст Знак"/>
    <w:basedOn w:val="871"/>
    <w:link w:val="887"/>
    <w:uiPriority w:val="99"/>
    <w:semiHidden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89" w:customStyle="1">
    <w:name w:val="Вадькин нормальный"/>
    <w:basedOn w:val="869"/>
    <w:pPr>
      <w:jc w:val="both"/>
    </w:pPr>
  </w:style>
  <w:style w:type="paragraph" w:styleId="890">
    <w:name w:val="Footer"/>
    <w:basedOn w:val="869"/>
    <w:link w:val="891"/>
    <w:pPr>
      <w:tabs>
        <w:tab w:val="center" w:pos="4677" w:leader="none"/>
        <w:tab w:val="right" w:pos="9355" w:leader="none"/>
      </w:tabs>
    </w:pPr>
  </w:style>
  <w:style w:type="character" w:styleId="891" w:customStyle="1">
    <w:name w:val="Нижний колонтитул Знак"/>
    <w:basedOn w:val="871"/>
    <w:link w:val="890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892">
    <w:name w:val="FollowedHyperlink"/>
    <w:basedOn w:val="871"/>
    <w:uiPriority w:val="99"/>
    <w:semiHidden/>
    <w:unhideWhenUsed/>
    <w:rPr>
      <w:color w:val="800080" w:themeColor="followedHyperlink"/>
      <w:u w:val="single"/>
    </w:rPr>
  </w:style>
  <w:style w:type="paragraph" w:styleId="893" w:customStyle="1">
    <w:name w:val="Body Text Indent 2"/>
    <w:pPr>
      <w:contextualSpacing w:val="0"/>
      <w:ind w:left="0" w:right="0" w:firstLine="709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94" w:customStyle="1">
    <w:name w:val="Body Text Indent 3"/>
    <w:pPr>
      <w:contextualSpacing w:val="0"/>
      <w:ind w:left="0" w:right="0" w:firstLine="708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95" w:customStyle="1">
    <w:name w:val="Нижний колонтитул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tabs>
        <w:tab w:val="center" w:pos="4153" w:leader="none"/>
        <w:tab w:val="right" w:pos="8306" w:leader="none"/>
      </w:tabs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8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customXml" Target="../customXml/item1.xml" /><Relationship Id="rId13" Type="http://schemas.openxmlformats.org/officeDocument/2006/relationships/hyperlink" Target="http://www.rts-tender.ru" TargetMode="External"/><Relationship Id="rId14" Type="http://schemas.openxmlformats.org/officeDocument/2006/relationships/hyperlink" Target="http://www.rts-tender.ru" TargetMode="External"/><Relationship Id="rId15" Type="http://schemas.openxmlformats.org/officeDocument/2006/relationships/hyperlink" Target="https://www.lot-online.ru/" TargetMode="External"/><Relationship Id="rId16" Type="http://schemas.openxmlformats.org/officeDocument/2006/relationships/hyperlink" Target="http://dizo.nso.ru" TargetMode="External"/><Relationship Id="rId17" Type="http://schemas.openxmlformats.org/officeDocument/2006/relationships/hyperlink" Target="http://www.rts-tender.ru" TargetMode="External"/><Relationship Id="rId18" Type="http://schemas.openxmlformats.org/officeDocument/2006/relationships/hyperlink" Target="http://boaal@nso.ru" TargetMode="External"/><Relationship Id="rId19" Type="http://schemas.openxmlformats.org/officeDocument/2006/relationships/hyperlink" Target="https://www.lot-online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2CA011-8996-4942-9C04-549F5B4BC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EGatickaja</dc:creator>
  <cp:revision>23</cp:revision>
  <dcterms:created xsi:type="dcterms:W3CDTF">2023-06-13T05:09:00Z</dcterms:created>
  <dcterms:modified xsi:type="dcterms:W3CDTF">2025-04-16T03:06:16Z</dcterms:modified>
</cp:coreProperties>
</file>