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проведенных мероприятий по установлению вида фактического использования зданий (строений, сооружений) и помещений, в отношении которых налоговая база по </w:t>
      </w:r>
      <w:r>
        <w:rPr>
          <w:rFonts w:ascii="Times New Roman" w:hAnsi="Times New Roman" w:cs="Times New Roman"/>
          <w:sz w:val="28"/>
          <w:szCs w:val="28"/>
        </w:rPr>
        <w:t xml:space="preserve">налогу на имущество определяется как кадастровая стоимость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21</w:t>
      </w:r>
      <w:r>
        <w:rPr>
          <w:rFonts w:ascii="Times New Roman" w:hAnsi="Times New Roman" w:cs="Times New Roman"/>
          <w:sz w:val="28"/>
          <w:szCs w:val="28"/>
        </w:rPr>
        <w:t xml:space="preserve">.04.2025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35"/>
        <w:tblW w:w="0" w:type="auto"/>
        <w:tblInd w:w="-437" w:type="dxa"/>
        <w:tblLayout w:type="fixed"/>
        <w:tblLook w:val="04A0" w:firstRow="1" w:lastRow="0" w:firstColumn="1" w:lastColumn="0" w:noHBand="0" w:noVBand="1"/>
      </w:tblPr>
      <w:tblGrid>
        <w:gridCol w:w="971"/>
        <w:gridCol w:w="2289"/>
        <w:gridCol w:w="2388"/>
        <w:gridCol w:w="1864"/>
        <w:gridCol w:w="5528"/>
        <w:gridCol w:w="1701"/>
        <w:gridCol w:w="1559"/>
      </w:tblGrid>
      <w:tr>
        <w:tblPrEx/>
        <w:trPr/>
        <w:tc>
          <w:tcPr>
            <w:tcW w:w="9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п/п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объекта недвижимости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3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Адрес объекта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ероприятия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акта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bottom w:val="single" w:color="auto" w:sz="4" w:space="0"/>
            </w:tcBorders>
            <w:tcW w:w="55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Примечание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публикации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1848"/>
        </w:trPr>
        <w:tc>
          <w:tcPr>
            <w:tcW w:w="9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r>
          </w:p>
        </w:tc>
        <w:tc>
          <w:tcPr>
            <w:tcW w:w="228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Нежилое здание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54:35:061555:6547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38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г Новосибирск,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ул. Моторная, д. 59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186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21.04.2025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№ 503</w:t>
            </w: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5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ежилое здание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с кадастровым номером 54:35:061555:6547,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общей площадью 11526,9 м²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: установлено, что общая площадь помещений, используемых для видов деятельности «офис», «торговые объекты», «бытовое обслуживание», «общественное питание» составляет менее 20 % (16,79 %) общей площади объекта нежилого ф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онда – нежилого здания с кадастровым номером 54:35:061555:6547, общей площадью 11 526,9 м², расположенного по адресу: Новосибирская область, г. Новосибирск, ул. Моторная, д. 59, 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т.е. не соответствует требованию п. 4.1 ст. 378.2 Налогового Кодекса РФ, п. 1 ч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. 1 ст. 4.5 Закона Новосибирской области от 16.10.2003 № 142-ОЗ «О налогах и особенностях налогообложения отдельных категорий налогоплательщиков в Новосибирской области».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Borders>
              <w:lef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21.04.2025</w:t>
            </w:r>
            <w:r/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r>
          </w:p>
        </w:tc>
      </w:tr>
    </w:tbl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6838" w:h="11906" w:orient="landscape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>
    <w:name w:val="Table Grid"/>
    <w:basedOn w:val="83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6">
    <w:name w:val="Balloon Text"/>
    <w:basedOn w:val="831"/>
    <w:link w:val="8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7" w:customStyle="1">
    <w:name w:val="Текст выноски Знак"/>
    <w:basedOn w:val="832"/>
    <w:link w:val="83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</dc:creator>
  <cp:revision>17</cp:revision>
  <dcterms:created xsi:type="dcterms:W3CDTF">2023-09-08T08:13:00Z</dcterms:created>
  <dcterms:modified xsi:type="dcterms:W3CDTF">2025-05-26T02:58:15Z</dcterms:modified>
</cp:coreProperties>
</file>