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7"/>
        <w:ind w:firstLine="709"/>
        <w:jc w:val="center"/>
        <w:spacing w:after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ИНФОРМАЦИОННОЕ СООБЩЕНИЕ </w:t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pStyle w:val="874"/>
        <w:jc w:val="center"/>
        <w:spacing w:before="0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  <w:t xml:space="preserve">о проведении аукциона в электронной форме </w:t>
      </w:r>
      <w:r>
        <w:rPr>
          <w:sz w:val="22"/>
          <w:szCs w:val="22"/>
        </w:rPr>
        <w:t xml:space="preserve">с открытой формой подачи предложений о цене</w:t>
      </w:r>
      <w:r>
        <w:rPr>
          <w:sz w:val="22"/>
          <w:szCs w:val="22"/>
        </w:rPr>
        <w:t xml:space="preserve"> по продаже государственного имущества Новосибирской области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74"/>
        <w:jc w:val="center"/>
        <w:spacing w:before="0"/>
        <w:rPr>
          <w:b/>
          <w:bCs/>
          <w:sz w:val="22"/>
          <w:szCs w:val="22"/>
        </w:rPr>
      </w:pPr>
      <w:r>
        <w:rPr>
          <w:b/>
          <w:sz w:val="22"/>
          <w:szCs w:val="22"/>
          <w:highlight w:val="none"/>
        </w:rPr>
      </w: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</w:p>
    <w:p>
      <w:pPr>
        <w:ind w:firstLine="709"/>
        <w:jc w:val="center"/>
        <w:tabs>
          <w:tab w:val="left" w:pos="284" w:leader="none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sz w:val="22"/>
          <w:szCs w:val="22"/>
        </w:rPr>
      </w:pPr>
      <w:r>
        <w:rPr>
          <w:sz w:val="22"/>
          <w:szCs w:val="22"/>
          <w:lang w:val="ru-RU"/>
        </w:rPr>
        <w:t xml:space="preserve">Департамент имущества и земельных отношений Новосибирской области 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9"/>
        <w:jc w:val="center"/>
        <w:tabs>
          <w:tab w:val="left" w:pos="284" w:leader="none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b/>
          <w:bCs/>
          <w:sz w:val="22"/>
          <w:szCs w:val="22"/>
          <w:highlight w:val="yellow"/>
        </w:rPr>
      </w:pPr>
      <w:r>
        <w:rPr>
          <w:sz w:val="22"/>
          <w:szCs w:val="22"/>
        </w:rPr>
        <w:t xml:space="preserve">объявляет аукцион в электронной форме с открытой формой подачи предложений о цене по продаже государственного имущества Новосибирской области, который состоится </w:t>
      </w:r>
      <w:r>
        <w:rPr>
          <w:b/>
          <w:bCs/>
          <w:sz w:val="22"/>
          <w:szCs w:val="22"/>
          <w:highlight w:val="yellow"/>
        </w:rPr>
      </w:r>
      <w:r>
        <w:rPr>
          <w:b/>
          <w:bCs/>
          <w:sz w:val="22"/>
          <w:szCs w:val="22"/>
          <w:highlight w:val="yellow"/>
        </w:rPr>
      </w:r>
    </w:p>
    <w:p>
      <w:pPr>
        <w:ind w:firstLine="709"/>
        <w:jc w:val="center"/>
        <w:tabs>
          <w:tab w:val="left" w:pos="284" w:leader="none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b/>
          <w:bCs/>
          <w:sz w:val="22"/>
          <w:szCs w:val="22"/>
          <w:highlight w:val="white"/>
        </w:rPr>
      </w:pPr>
      <w:r>
        <w:rPr>
          <w:b/>
          <w:sz w:val="22"/>
          <w:szCs w:val="22"/>
          <w:highlight w:val="none"/>
        </w:rPr>
        <w:t xml:space="preserve">14 июля</w:t>
      </w:r>
      <w:r>
        <w:rPr>
          <w:b/>
          <w:sz w:val="22"/>
          <w:szCs w:val="22"/>
          <w:highlight w:val="white"/>
        </w:rPr>
        <w:t xml:space="preserve"> 202</w:t>
      </w:r>
      <w:r>
        <w:rPr>
          <w:b/>
          <w:sz w:val="22"/>
          <w:szCs w:val="22"/>
          <w:highlight w:val="white"/>
        </w:rPr>
        <w:t xml:space="preserve">5 года в 1</w:t>
      </w:r>
      <w:r>
        <w:rPr>
          <w:b/>
          <w:sz w:val="22"/>
          <w:szCs w:val="22"/>
          <w:highlight w:val="white"/>
        </w:rPr>
        <w:t xml:space="preserve">1 час. 00 мин. по местному времени</w:t>
      </w:r>
      <w:r>
        <w:rPr>
          <w:b/>
          <w:sz w:val="22"/>
          <w:szCs w:val="22"/>
          <w:highlight w:val="white"/>
        </w:rPr>
        <w:t xml:space="preserve">.</w:t>
      </w:r>
      <w:r>
        <w:rPr>
          <w:b/>
          <w:sz w:val="22"/>
          <w:szCs w:val="22"/>
          <w:highlight w:val="white"/>
        </w:rPr>
        <w:t xml:space="preserve"> </w:t>
      </w:r>
      <w:r>
        <w:rPr>
          <w:b/>
          <w:bCs/>
          <w:sz w:val="22"/>
          <w:szCs w:val="22"/>
          <w:highlight w:val="white"/>
        </w:rPr>
      </w:r>
      <w:r>
        <w:rPr>
          <w:b/>
          <w:bCs/>
          <w:sz w:val="22"/>
          <w:szCs w:val="22"/>
          <w:highlight w:val="white"/>
        </w:rPr>
      </w:r>
    </w:p>
    <w:p>
      <w:pPr>
        <w:ind w:firstLine="709"/>
        <w:jc w:val="center"/>
        <w:tabs>
          <w:tab w:val="left" w:pos="284" w:leader="none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b/>
          <w:bCs/>
          <w:sz w:val="22"/>
          <w:szCs w:val="22"/>
          <w:highlight w:val="white"/>
        </w:rPr>
      </w:pPr>
      <w:r>
        <w:rPr>
          <w:b/>
          <w:sz w:val="22"/>
          <w:szCs w:val="22"/>
          <w:highlight w:val="none"/>
        </w:rPr>
      </w:r>
      <w:r>
        <w:rPr>
          <w:b/>
          <w:bCs/>
          <w:sz w:val="22"/>
          <w:szCs w:val="22"/>
          <w:highlight w:val="white"/>
        </w:rPr>
      </w:r>
      <w:r>
        <w:rPr>
          <w:b/>
          <w:bCs/>
          <w:sz w:val="22"/>
          <w:szCs w:val="22"/>
          <w:highlight w:val="white"/>
        </w:rPr>
      </w:r>
    </w:p>
    <w:p>
      <w:pPr>
        <w:ind w:firstLine="709"/>
        <w:jc w:val="center"/>
        <w:tabs>
          <w:tab w:val="left" w:pos="284" w:leader="none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sz w:val="22"/>
          <w:szCs w:val="22"/>
          <w:highlight w:val="none"/>
        </w:rPr>
      </w:pPr>
      <w:r>
        <w:rPr>
          <w:b/>
          <w:sz w:val="22"/>
          <w:szCs w:val="22"/>
        </w:rPr>
        <w:t xml:space="preserve">Место проведения аукциона в электронной форме: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электронная площадка «РТС-тендер»</w:t>
      </w:r>
      <w:r>
        <w:rPr>
          <w:sz w:val="22"/>
          <w:szCs w:val="22"/>
        </w:rPr>
        <w:t xml:space="preserve"> </w:t>
      </w:r>
      <w:hyperlink r:id="rId13" w:tooltip="http://www.rts-tender.ru" w:history="1">
        <w:r>
          <w:rPr>
            <w:sz w:val="22"/>
            <w:szCs w:val="22"/>
          </w:rPr>
          <w:t xml:space="preserve">www.rts-tender.ru</w:t>
        </w:r>
      </w:hyperlink>
      <w:r>
        <w:rPr>
          <w:sz w:val="22"/>
          <w:szCs w:val="22"/>
        </w:rPr>
        <w:t xml:space="preserve"> (секция «</w:t>
      </w:r>
      <w:r>
        <w:rPr>
          <w:sz w:val="22"/>
          <w:szCs w:val="22"/>
        </w:rPr>
        <w:t xml:space="preserve">Имущество</w:t>
      </w:r>
      <w:r>
        <w:rPr>
          <w:sz w:val="22"/>
          <w:szCs w:val="22"/>
        </w:rPr>
        <w:t xml:space="preserve">»)</w:t>
      </w: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</w:p>
    <w:p>
      <w:pPr>
        <w:ind w:firstLine="709"/>
        <w:jc w:val="center"/>
        <w:tabs>
          <w:tab w:val="left" w:pos="284" w:leader="none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b/>
          <w:bCs/>
          <w:sz w:val="22"/>
          <w:szCs w:val="22"/>
        </w:rPr>
      </w:pPr>
      <w:r>
        <w:rPr>
          <w:sz w:val="22"/>
          <w:szCs w:val="22"/>
          <w:highlight w:val="none"/>
        </w:rPr>
      </w: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</w:p>
    <w:p>
      <w:pPr>
        <w:pStyle w:val="874"/>
        <w:spacing w:before="0"/>
        <w:rPr>
          <w:sz w:val="22"/>
          <w:szCs w:val="22"/>
          <w:highlight w:val="none"/>
        </w:rPr>
      </w:pPr>
      <w:r>
        <w:rPr>
          <w:sz w:val="22"/>
          <w:szCs w:val="22"/>
        </w:rPr>
        <w:t xml:space="preserve">Приватизация объектов недвижимости</w:t>
      </w:r>
      <w:r>
        <w:rPr>
          <w:sz w:val="22"/>
          <w:szCs w:val="22"/>
        </w:rPr>
        <w:t xml:space="preserve">, указанных в пункта</w:t>
      </w:r>
      <w:r>
        <w:rPr>
          <w:sz w:val="22"/>
          <w:szCs w:val="22"/>
          <w:highlight w:val="white"/>
        </w:rPr>
        <w:t xml:space="preserve">х</w:t>
      </w:r>
      <w:r>
        <w:rPr>
          <w:sz w:val="22"/>
          <w:szCs w:val="22"/>
          <w:highlight w:val="white"/>
        </w:rPr>
        <w:t xml:space="preserve"> 1-4, </w:t>
      </w:r>
      <w:r>
        <w:rPr>
          <w:sz w:val="22"/>
          <w:szCs w:val="22"/>
          <w:highlight w:val="white"/>
        </w:rPr>
        <w:t xml:space="preserve">о</w:t>
      </w:r>
      <w:r>
        <w:rPr>
          <w:sz w:val="22"/>
          <w:szCs w:val="22"/>
        </w:rPr>
        <w:t xml:space="preserve">существляется в соответствии с </w:t>
      </w:r>
      <w:r>
        <w:rPr>
          <w:sz w:val="22"/>
          <w:szCs w:val="22"/>
        </w:rPr>
        <w:t xml:space="preserve">постановлением Законодательного Собрания Новосибирской области от 25.11.2021 № 211 «О прогнозном плане </w:t>
      </w:r>
      <w:r>
        <w:rPr>
          <w:sz w:val="22"/>
          <w:szCs w:val="22"/>
        </w:rPr>
        <w:t xml:space="preserve">приватизации государственного имущества Новосибирской области на 2025 - 2027 годы» (в редакции от 31.10.2024)</w:t>
      </w:r>
      <w:r>
        <w:rPr>
          <w:sz w:val="22"/>
          <w:szCs w:val="22"/>
        </w:rPr>
        <w:t xml:space="preserve">.</w:t>
      </w: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</w:p>
    <w:p>
      <w:pPr>
        <w:ind w:firstLine="709"/>
        <w:jc w:val="both"/>
        <w:tabs>
          <w:tab w:val="left" w:pos="284" w:leader="none"/>
        </w:tabs>
        <w:rPr>
          <w:b/>
          <w:bCs/>
          <w:i/>
          <w:sz w:val="22"/>
          <w:szCs w:val="22"/>
          <w:highlight w:val="none"/>
          <w14:ligatures w14:val="none"/>
        </w:rPr>
      </w:pPr>
      <w:r>
        <w:rPr>
          <w:b/>
          <w:bCs/>
          <w:i/>
          <w:iCs/>
          <w:sz w:val="22"/>
          <w:szCs w:val="22"/>
          <w:highlight w:val="none"/>
        </w:rPr>
      </w:r>
      <w:r>
        <w:rPr>
          <w:b/>
          <w:bCs/>
          <w:i/>
          <w:iCs/>
          <w:sz w:val="22"/>
          <w:szCs w:val="22"/>
          <w:highlight w:val="none"/>
        </w:rPr>
      </w:r>
      <w:r>
        <w:rPr>
          <w:b/>
          <w:bCs/>
          <w:i/>
          <w:sz w:val="22"/>
          <w:szCs w:val="22"/>
          <w:highlight w:val="none"/>
          <w14:ligatures w14:val="none"/>
        </w:rPr>
      </w:r>
    </w:p>
    <w:p>
      <w:pPr>
        <w:ind w:firstLine="709"/>
        <w:jc w:val="both"/>
        <w:tabs>
          <w:tab w:val="left" w:pos="284" w:leader="none"/>
        </w:tabs>
        <w:rPr>
          <w:b/>
          <w:bCs/>
          <w:i/>
          <w:iCs/>
          <w:sz w:val="22"/>
          <w:szCs w:val="22"/>
          <w:highlight w:val="none"/>
          <w14:ligatures w14:val="none"/>
        </w:rPr>
      </w:pPr>
      <w:r>
        <w:rPr>
          <w:sz w:val="22"/>
          <w:szCs w:val="22"/>
          <w:highlight w:val="none"/>
        </w:rPr>
        <w:t xml:space="preserve">1. </w:t>
      </w:r>
      <w:r>
        <w:rPr>
          <w:b/>
          <w:bCs/>
          <w:sz w:val="22"/>
          <w:szCs w:val="22"/>
          <w:highlight w:val="none"/>
        </w:rPr>
        <w:t xml:space="preserve">Лот № 1:</w:t>
      </w:r>
      <w:r>
        <w:rPr>
          <w:b/>
          <w:bCs/>
          <w:sz w:val="22"/>
          <w:szCs w:val="22"/>
          <w:highlight w:val="none"/>
        </w:rPr>
        <w:t xml:space="preserve"> </w:t>
      </w:r>
      <w:r>
        <w:rPr>
          <w:b/>
          <w:bCs/>
          <w:i/>
          <w:iCs/>
          <w:sz w:val="22"/>
          <w:szCs w:val="22"/>
          <w:highlight w:val="none"/>
        </w:rPr>
        <w:t xml:space="preserve">Помещение</w:t>
      </w:r>
      <w:r>
        <w:rPr>
          <w:b/>
          <w:bCs/>
          <w:i/>
          <w:iCs/>
          <w:sz w:val="22"/>
          <w:szCs w:val="22"/>
          <w:highlight w:val="none"/>
        </w:rPr>
        <w:t xml:space="preserve">,</w:t>
      </w:r>
      <w:r>
        <w:rPr>
          <w:b/>
          <w:bCs/>
          <w:i/>
          <w:iCs/>
          <w:sz w:val="22"/>
          <w:szCs w:val="22"/>
          <w:highlight w:val="none"/>
        </w:rPr>
        <w:t xml:space="preserve"> площадь </w:t>
      </w:r>
      <w:r>
        <w:rPr>
          <w:b/>
          <w:bCs/>
          <w:i/>
          <w:iCs/>
          <w:sz w:val="22"/>
          <w:szCs w:val="22"/>
          <w:highlight w:val="none"/>
        </w:rPr>
        <w:t xml:space="preserve">154,5</w:t>
      </w:r>
      <w:r>
        <w:rPr>
          <w:b/>
          <w:bCs/>
          <w:i/>
          <w:iCs/>
          <w:sz w:val="22"/>
          <w:szCs w:val="22"/>
          <w:highlight w:val="none"/>
        </w:rPr>
        <w:t xml:space="preserve"> </w:t>
      </w:r>
      <w:r>
        <w:rPr>
          <w:b/>
          <w:bCs/>
          <w:i/>
          <w:iCs/>
          <w:sz w:val="22"/>
          <w:szCs w:val="22"/>
          <w:highlight w:val="none"/>
        </w:rPr>
        <w:t xml:space="preserve">кв.м., </w:t>
      </w:r>
      <w:r>
        <w:rPr>
          <w:b/>
          <w:bCs/>
          <w:i/>
          <w:iCs/>
          <w:sz w:val="22"/>
          <w:szCs w:val="22"/>
          <w:highlight w:val="none"/>
        </w:rPr>
        <w:t xml:space="preserve">назначение: нежилое</w:t>
      </w:r>
      <w:r>
        <w:rPr>
          <w:b/>
          <w:bCs/>
          <w:i/>
          <w:iCs/>
          <w:sz w:val="22"/>
          <w:szCs w:val="22"/>
          <w:highlight w:val="none"/>
        </w:rPr>
        <w:t xml:space="preserve"> помещение</w:t>
      </w:r>
      <w:r>
        <w:rPr>
          <w:b/>
          <w:bCs/>
          <w:i/>
          <w:iCs/>
          <w:sz w:val="22"/>
          <w:szCs w:val="22"/>
          <w:highlight w:val="none"/>
        </w:rPr>
        <w:t xml:space="preserve">,</w:t>
      </w:r>
      <w:r>
        <w:rPr>
          <w:b/>
          <w:bCs/>
          <w:i/>
          <w:iCs/>
          <w:sz w:val="22"/>
          <w:szCs w:val="22"/>
          <w:highlight w:val="none"/>
        </w:rPr>
        <w:t xml:space="preserve"> </w:t>
      </w:r>
      <w:r>
        <w:rPr>
          <w:b/>
          <w:bCs/>
          <w:i/>
          <w:iCs/>
          <w:sz w:val="22"/>
          <w:szCs w:val="22"/>
          <w:highlight w:val="none"/>
        </w:rPr>
        <w:t xml:space="preserve">кадастровый номер: 54:3</w:t>
      </w:r>
      <w:r>
        <w:rPr>
          <w:b/>
          <w:bCs/>
          <w:i/>
          <w:iCs/>
          <w:sz w:val="22"/>
          <w:szCs w:val="22"/>
          <w:highlight w:val="none"/>
        </w:rPr>
        <w:t xml:space="preserve">0</w:t>
      </w:r>
      <w:r>
        <w:rPr>
          <w:b/>
          <w:bCs/>
          <w:i/>
          <w:iCs/>
          <w:sz w:val="22"/>
          <w:szCs w:val="22"/>
          <w:highlight w:val="none"/>
        </w:rPr>
        <w:t xml:space="preserve">:</w:t>
      </w:r>
      <w:r>
        <w:rPr>
          <w:b/>
          <w:bCs/>
          <w:i/>
          <w:iCs/>
          <w:sz w:val="22"/>
          <w:szCs w:val="22"/>
          <w:highlight w:val="none"/>
        </w:rPr>
        <w:t xml:space="preserve">010124</w:t>
      </w:r>
      <w:r>
        <w:rPr>
          <w:b/>
          <w:bCs/>
          <w:i/>
          <w:iCs/>
          <w:sz w:val="22"/>
          <w:szCs w:val="22"/>
          <w:highlight w:val="none"/>
        </w:rPr>
        <w:t xml:space="preserve">:</w:t>
      </w:r>
      <w:r>
        <w:rPr>
          <w:b/>
          <w:bCs/>
          <w:i/>
          <w:iCs/>
          <w:sz w:val="22"/>
          <w:szCs w:val="22"/>
          <w:highlight w:val="none"/>
        </w:rPr>
        <w:t xml:space="preserve">470</w:t>
      </w:r>
      <w:r>
        <w:rPr>
          <w:b/>
          <w:bCs/>
          <w:i/>
          <w:iCs/>
          <w:sz w:val="22"/>
          <w:szCs w:val="22"/>
          <w:highlight w:val="none"/>
        </w:rPr>
        <w:t xml:space="preserve">, расположенн</w:t>
      </w:r>
      <w:r>
        <w:rPr>
          <w:b/>
          <w:bCs/>
          <w:i/>
          <w:iCs/>
          <w:sz w:val="22"/>
          <w:szCs w:val="22"/>
          <w:highlight w:val="none"/>
        </w:rPr>
        <w:t xml:space="preserve">ое</w:t>
      </w:r>
      <w:r>
        <w:rPr>
          <w:b/>
          <w:bCs/>
          <w:i/>
          <w:iCs/>
          <w:sz w:val="22"/>
          <w:szCs w:val="22"/>
          <w:highlight w:val="none"/>
        </w:rPr>
        <w:t xml:space="preserve"> по адресу: </w:t>
      </w:r>
      <w:r>
        <w:rPr>
          <w:b/>
          <w:bCs/>
          <w:i/>
          <w:iCs/>
          <w:sz w:val="22"/>
          <w:szCs w:val="22"/>
          <w:highlight w:val="none"/>
        </w:rPr>
        <w:t xml:space="preserve">Новосибирская область, </w:t>
      </w:r>
      <w:r>
        <w:rPr>
          <w:b/>
          <w:bCs/>
          <w:i/>
          <w:iCs/>
          <w:sz w:val="22"/>
          <w:szCs w:val="22"/>
          <w:highlight w:val="none"/>
        </w:rPr>
        <w:t xml:space="preserve">Чулымский район, город Чулым, улица Чулымская, дом 20</w:t>
      </w:r>
      <w:r>
        <w:rPr>
          <w:b/>
          <w:bCs/>
          <w:i/>
          <w:iCs/>
          <w:sz w:val="22"/>
          <w:szCs w:val="22"/>
          <w:highlight w:val="none"/>
        </w:rPr>
        <w:t xml:space="preserve">.</w:t>
      </w:r>
      <w:r>
        <w:rPr>
          <w:b/>
          <w:bCs/>
          <w:i/>
          <w:iCs/>
          <w:sz w:val="22"/>
          <w:szCs w:val="22"/>
          <w:highlight w:val="none"/>
          <w14:ligatures w14:val="none"/>
        </w:rPr>
      </w:r>
      <w:r>
        <w:rPr>
          <w:b/>
          <w:bCs/>
          <w:i/>
          <w:iCs/>
          <w:sz w:val="22"/>
          <w:szCs w:val="22"/>
          <w:highlight w:val="none"/>
          <w14:ligatures w14:val="none"/>
        </w:rPr>
      </w:r>
    </w:p>
    <w:p>
      <w:pPr>
        <w:ind w:firstLine="709"/>
        <w:jc w:val="both"/>
        <w:tabs>
          <w:tab w:val="left" w:pos="284" w:leader="none"/>
          <w:tab w:val="clear" w:pos="4153" w:leader="none"/>
          <w:tab w:val="clear" w:pos="8306" w:leader="none"/>
        </w:tabs>
        <w:rPr>
          <w:sz w:val="22"/>
          <w:szCs w:val="22"/>
          <w:highlight w:val="none"/>
          <w14:ligatures w14:val="none"/>
        </w:rPr>
      </w:pP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  <w:t xml:space="preserve">Решение об условиях приватизации принято приказом департамента имущества и земельных отношений Новосибирской области от 26.02.2025 № 675 «</w:t>
      </w:r>
      <w:r>
        <w:rPr>
          <w:sz w:val="22"/>
          <w:szCs w:val="22"/>
          <w:highlight w:val="none"/>
        </w:rPr>
        <w:t xml:space="preserve">Об условиях приватизации </w:t>
      </w:r>
      <w:r>
        <w:rPr>
          <w:sz w:val="22"/>
          <w:szCs w:val="22"/>
          <w:highlight w:val="none"/>
        </w:rPr>
        <w:t xml:space="preserve">находящегося в государственной собственности</w:t>
      </w:r>
      <w:r>
        <w:rPr>
          <w:sz w:val="22"/>
          <w:szCs w:val="22"/>
          <w:highlight w:val="none"/>
        </w:rPr>
        <w:t xml:space="preserve"> Новосибирской области</w:t>
      </w:r>
      <w:r>
        <w:rPr>
          <w:sz w:val="22"/>
          <w:szCs w:val="22"/>
          <w:highlight w:val="none"/>
        </w:rPr>
        <w:t xml:space="preserve"> </w:t>
      </w:r>
      <w:r>
        <w:rPr>
          <w:sz w:val="22"/>
          <w:szCs w:val="22"/>
          <w:highlight w:val="none"/>
        </w:rPr>
        <w:t xml:space="preserve">имущества, расположенного по адресу: </w:t>
      </w:r>
      <w:r>
        <w:rPr>
          <w:sz w:val="22"/>
          <w:szCs w:val="22"/>
          <w:highlight w:val="none"/>
        </w:rPr>
        <w:t xml:space="preserve">Новосибирская область, </w:t>
      </w:r>
      <w:r>
        <w:rPr>
          <w:sz w:val="22"/>
          <w:szCs w:val="22"/>
          <w:highlight w:val="none"/>
        </w:rPr>
        <w:t xml:space="preserve">Чулымский район, город Чулым, улица Чулымская, дом 20</w:t>
      </w:r>
      <w:r>
        <w:rPr>
          <w:sz w:val="22"/>
          <w:szCs w:val="22"/>
          <w:highlight w:val="none"/>
        </w:rPr>
        <w:t xml:space="preserve">».</w:t>
      </w:r>
      <w:r>
        <w:rPr>
          <w:sz w:val="22"/>
          <w:szCs w:val="22"/>
          <w:highlight w:val="none"/>
          <w14:ligatures w14:val="none"/>
        </w:rPr>
      </w:r>
      <w:r>
        <w:rPr>
          <w:sz w:val="22"/>
          <w:szCs w:val="22"/>
          <w:highlight w:val="none"/>
          <w14:ligatures w14:val="none"/>
        </w:rPr>
      </w:r>
    </w:p>
    <w:p>
      <w:pPr>
        <w:ind w:firstLine="709"/>
        <w:jc w:val="both"/>
        <w:tabs>
          <w:tab w:val="left" w:pos="284" w:leader="none"/>
        </w:tabs>
        <w:rPr>
          <w:sz w:val="22"/>
          <w:szCs w:val="22"/>
          <w:highlight w:val="none"/>
          <w14:ligatures w14:val="none"/>
        </w:rPr>
      </w:pPr>
      <w:r>
        <w:rPr>
          <w:sz w:val="22"/>
          <w:szCs w:val="22"/>
          <w:highlight w:val="none"/>
        </w:rPr>
        <w:t xml:space="preserve">Собственник имущества – Новосибирская область.</w:t>
      </w:r>
      <w:r>
        <w:rPr>
          <w:sz w:val="22"/>
          <w:szCs w:val="22"/>
          <w:highlight w:val="none"/>
        </w:rPr>
        <w:tab/>
      </w:r>
      <w:r>
        <w:rPr>
          <w:sz w:val="22"/>
          <w:szCs w:val="22"/>
          <w:highlight w:val="none"/>
          <w14:ligatures w14:val="none"/>
        </w:rPr>
      </w:r>
      <w:r>
        <w:rPr>
          <w:sz w:val="22"/>
          <w:szCs w:val="22"/>
          <w:highlight w:val="none"/>
          <w14:ligatures w14:val="none"/>
        </w:rPr>
      </w:r>
    </w:p>
    <w:p>
      <w:pPr>
        <w:ind w:firstLine="709"/>
        <w:jc w:val="both"/>
        <w:tabs>
          <w:tab w:val="left" w:pos="284" w:leader="none"/>
        </w:tabs>
        <w:rPr>
          <w:sz w:val="22"/>
          <w:szCs w:val="22"/>
          <w:highlight w:val="none"/>
          <w14:ligatures w14:val="none"/>
        </w:rPr>
      </w:pPr>
      <w:r>
        <w:rPr>
          <w:sz w:val="22"/>
          <w:szCs w:val="22"/>
          <w:highlight w:val="none"/>
        </w:rPr>
        <w:t xml:space="preserve">Сведения о наличии в отношении имущества обременения, сохраняемого при переходе прав на указанное имущество: правами третьих лиц не обременен, в споре и под арестом не состоит. </w:t>
      </w:r>
      <w:r>
        <w:rPr>
          <w:sz w:val="22"/>
          <w:szCs w:val="22"/>
          <w:highlight w:val="none"/>
        </w:rPr>
        <w:t xml:space="preserve">Ограничений в пользовании не имеется.</w:t>
      </w:r>
      <w:r>
        <w:rPr>
          <w:sz w:val="22"/>
          <w:szCs w:val="22"/>
          <w:highlight w:val="none"/>
          <w14:ligatures w14:val="none"/>
        </w:rPr>
      </w:r>
      <w:r>
        <w:rPr>
          <w:sz w:val="22"/>
          <w:szCs w:val="22"/>
          <w:highlight w:val="none"/>
          <w14:ligatures w14:val="none"/>
        </w:rPr>
      </w:r>
    </w:p>
    <w:p>
      <w:pPr>
        <w:ind w:firstLine="709"/>
        <w:jc w:val="both"/>
        <w:tabs>
          <w:tab w:val="left" w:pos="284" w:leader="none"/>
          <w:tab w:val="clear" w:pos="4677" w:leader="none"/>
          <w:tab w:val="clear" w:pos="9355" w:leader="none"/>
        </w:tabs>
        <w:rPr>
          <w:sz w:val="22"/>
          <w:szCs w:val="22"/>
          <w:highlight w:val="none"/>
          <w14:ligatures w14:val="none"/>
        </w:rPr>
      </w:pPr>
      <w:r>
        <w:rPr>
          <w:sz w:val="22"/>
          <w:szCs w:val="22"/>
          <w:highlight w:val="none"/>
        </w:rPr>
        <w:t xml:space="preserve">На</w:t>
      </w:r>
      <w:r>
        <w:rPr>
          <w:sz w:val="22"/>
          <w:szCs w:val="22"/>
          <w:highlight w:val="none"/>
        </w:rPr>
        <w:t xml:space="preserve">чальная цена</w:t>
      </w:r>
      <w:r>
        <w:rPr>
          <w:sz w:val="22"/>
          <w:szCs w:val="22"/>
          <w:highlight w:val="none"/>
        </w:rPr>
        <w:t xml:space="preserve"> </w:t>
      </w:r>
      <w:r>
        <w:rPr>
          <w:sz w:val="22"/>
          <w:szCs w:val="22"/>
          <w:highlight w:val="none"/>
        </w:rPr>
        <w:t xml:space="preserve">продажи</w:t>
      </w:r>
      <w:r>
        <w:rPr>
          <w:sz w:val="22"/>
          <w:szCs w:val="22"/>
          <w:highlight w:val="none"/>
        </w:rPr>
        <w:t xml:space="preserve"> </w:t>
      </w:r>
      <w:r>
        <w:rPr>
          <w:sz w:val="22"/>
          <w:szCs w:val="22"/>
          <w:highlight w:val="none"/>
        </w:rPr>
        <w:t xml:space="preserve">имущества</w:t>
      </w:r>
      <w:r>
        <w:rPr>
          <w:sz w:val="22"/>
          <w:szCs w:val="22"/>
          <w:highlight w:val="none"/>
        </w:rPr>
        <w:t xml:space="preserve"> – 1 798 000</w:t>
      </w:r>
      <w:r>
        <w:rPr>
          <w:sz w:val="22"/>
          <w:szCs w:val="22"/>
          <w:highlight w:val="none"/>
        </w:rPr>
        <w:t xml:space="preserve"> </w:t>
      </w:r>
      <w:r>
        <w:rPr>
          <w:sz w:val="22"/>
          <w:szCs w:val="22"/>
          <w:highlight w:val="none"/>
        </w:rPr>
        <w:t xml:space="preserve">рублей</w:t>
      </w:r>
      <w:r>
        <w:rPr>
          <w:sz w:val="22"/>
          <w:szCs w:val="22"/>
          <w:highlight w:val="none"/>
        </w:rPr>
        <w:t xml:space="preserve"> с учётом НДС.</w:t>
      </w:r>
      <w:r>
        <w:rPr>
          <w:sz w:val="22"/>
          <w:szCs w:val="22"/>
          <w:highlight w:val="none"/>
          <w14:ligatures w14:val="none"/>
        </w:rPr>
      </w:r>
      <w:r>
        <w:rPr>
          <w:sz w:val="22"/>
          <w:szCs w:val="22"/>
          <w:highlight w:val="none"/>
          <w14:ligatures w14:val="none"/>
        </w:rPr>
      </w:r>
    </w:p>
    <w:p>
      <w:pPr>
        <w:ind w:firstLine="709"/>
        <w:jc w:val="both"/>
        <w:tabs>
          <w:tab w:val="left" w:pos="284" w:leader="none"/>
          <w:tab w:val="clear" w:pos="4677" w:leader="none"/>
          <w:tab w:val="clear" w:pos="9355" w:leader="none"/>
        </w:tabs>
        <w:rPr>
          <w:sz w:val="22"/>
          <w:szCs w:val="22"/>
          <w:highlight w:val="none"/>
          <w14:ligatures w14:val="none"/>
        </w:rPr>
      </w:pPr>
      <w:r>
        <w:rPr>
          <w:sz w:val="22"/>
          <w:szCs w:val="22"/>
          <w:highlight w:val="none"/>
        </w:rPr>
        <w:t xml:space="preserve">Размер задатка</w:t>
      </w:r>
      <w:r>
        <w:rPr>
          <w:sz w:val="22"/>
          <w:szCs w:val="22"/>
          <w:highlight w:val="none"/>
        </w:rPr>
        <w:t xml:space="preserve"> – </w:t>
      </w:r>
      <w:r>
        <w:rPr>
          <w:sz w:val="22"/>
          <w:szCs w:val="22"/>
          <w:highlight w:val="none"/>
        </w:rPr>
        <w:t xml:space="preserve">179 800 </w:t>
      </w:r>
      <w:r>
        <w:rPr>
          <w:sz w:val="22"/>
          <w:szCs w:val="22"/>
          <w:highlight w:val="none"/>
        </w:rPr>
        <w:t xml:space="preserve">рублей</w:t>
      </w:r>
      <w:r>
        <w:rPr>
          <w:sz w:val="22"/>
          <w:szCs w:val="22"/>
          <w:highlight w:val="none"/>
        </w:rPr>
        <w:t xml:space="preserve">.</w:t>
      </w:r>
      <w:r>
        <w:rPr>
          <w:sz w:val="22"/>
          <w:szCs w:val="22"/>
          <w:highlight w:val="none"/>
          <w14:ligatures w14:val="none"/>
        </w:rPr>
      </w:r>
      <w:r>
        <w:rPr>
          <w:sz w:val="22"/>
          <w:szCs w:val="22"/>
          <w:highlight w:val="none"/>
          <w14:ligatures w14:val="none"/>
        </w:rPr>
      </w:r>
    </w:p>
    <w:p>
      <w:pPr>
        <w:ind w:firstLine="709"/>
        <w:jc w:val="both"/>
        <w:tabs>
          <w:tab w:val="left" w:pos="284" w:leader="none"/>
          <w:tab w:val="clear" w:pos="4677" w:leader="none"/>
          <w:tab w:val="clear" w:pos="9355" w:leader="none"/>
        </w:tabs>
        <w:rPr>
          <w:sz w:val="22"/>
          <w:szCs w:val="22"/>
          <w:highlight w:val="none"/>
          <w14:ligatures w14:val="none"/>
        </w:rPr>
      </w:pPr>
      <w:r>
        <w:rPr>
          <w:sz w:val="22"/>
          <w:szCs w:val="22"/>
          <w:highlight w:val="none"/>
        </w:rPr>
        <w:t xml:space="preserve">Величина повышения начальной цены («шаг аукциона»): –</w:t>
      </w:r>
      <w:r>
        <w:rPr>
          <w:sz w:val="22"/>
          <w:szCs w:val="22"/>
          <w:highlight w:val="none"/>
        </w:rPr>
        <w:t xml:space="preserve"> 89 900 </w:t>
      </w:r>
      <w:r>
        <w:rPr>
          <w:sz w:val="22"/>
          <w:szCs w:val="22"/>
          <w:highlight w:val="none"/>
        </w:rPr>
        <w:t xml:space="preserve">рублей</w:t>
      </w:r>
      <w:r>
        <w:rPr>
          <w:sz w:val="22"/>
          <w:szCs w:val="22"/>
          <w:highlight w:val="none"/>
        </w:rPr>
        <w:t xml:space="preserve">. </w:t>
      </w:r>
      <w:r>
        <w:rPr>
          <w:sz w:val="22"/>
          <w:szCs w:val="22"/>
          <w:highlight w:val="none"/>
          <w14:ligatures w14:val="none"/>
        </w:rPr>
      </w:r>
      <w:r>
        <w:rPr>
          <w:sz w:val="22"/>
          <w:szCs w:val="22"/>
          <w:highlight w:val="none"/>
          <w14:ligatures w14:val="none"/>
        </w:rPr>
      </w:r>
    </w:p>
    <w:p>
      <w:pPr>
        <w:ind w:firstLine="709"/>
        <w:jc w:val="both"/>
        <w:tabs>
          <w:tab w:val="left" w:pos="284" w:leader="none"/>
        </w:tabs>
        <w:rPr>
          <w:sz w:val="22"/>
          <w:szCs w:val="22"/>
          <w:highlight w:val="none"/>
          <w14:ligatures w14:val="none"/>
        </w:rPr>
      </w:pPr>
      <w:r>
        <w:rPr>
          <w:sz w:val="22"/>
          <w:szCs w:val="22"/>
          <w:highlight w:val="none"/>
        </w:rPr>
        <w:t xml:space="preserve">Средства платежа</w:t>
      </w:r>
      <w:r>
        <w:rPr>
          <w:sz w:val="22"/>
          <w:szCs w:val="22"/>
          <w:highlight w:val="none"/>
        </w:rPr>
        <w:t xml:space="preserve">: денежные средства в валюте Российской Федерации (рубли).</w:t>
      </w:r>
      <w:r>
        <w:rPr>
          <w:sz w:val="22"/>
          <w:szCs w:val="22"/>
          <w:highlight w:val="none"/>
          <w14:ligatures w14:val="none"/>
        </w:rPr>
      </w:r>
      <w:r>
        <w:rPr>
          <w:sz w:val="22"/>
          <w:szCs w:val="22"/>
          <w:highlight w:val="none"/>
          <w14:ligatures w14:val="none"/>
        </w:rPr>
      </w:r>
    </w:p>
    <w:p>
      <w:pPr>
        <w:ind w:firstLine="709"/>
        <w:jc w:val="both"/>
        <w:tabs>
          <w:tab w:val="left" w:pos="284" w:leader="none"/>
        </w:tabs>
        <w:rPr>
          <w:sz w:val="22"/>
          <w:szCs w:val="22"/>
          <w:highlight w:val="none"/>
          <w14:ligatures w14:val="none"/>
        </w:rPr>
      </w:pP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  <w:t xml:space="preserve">Сведения о предыдущих торгах по продаже имущества, объявленных в течение года, предшествующего продаже, и об итогах торгов по продаже имущества</w:t>
      </w:r>
      <w:r>
        <w:rPr>
          <w:sz w:val="22"/>
          <w:szCs w:val="22"/>
          <w:highlight w:val="none"/>
        </w:rPr>
        <w:t xml:space="preserve">: </w:t>
      </w:r>
      <w:r>
        <w:rPr>
          <w:sz w:val="22"/>
          <w:szCs w:val="22"/>
          <w:highlight w:val="none"/>
        </w:rPr>
        <w:t xml:space="preserve">имущество выставлялось на продажу пять раз в 2024 году, два раза в 2025 году. Торги признаны не состоявшимися в связи с отсутствием заявок.</w:t>
      </w:r>
      <w:r>
        <w:rPr>
          <w:sz w:val="22"/>
          <w:szCs w:val="22"/>
          <w:highlight w:val="none"/>
          <w14:ligatures w14:val="none"/>
        </w:rPr>
      </w:r>
      <w:r>
        <w:rPr>
          <w:sz w:val="22"/>
          <w:szCs w:val="22"/>
          <w:highlight w:val="none"/>
          <w14:ligatures w14:val="none"/>
        </w:rPr>
      </w:r>
    </w:p>
    <w:p>
      <w:pPr>
        <w:ind w:firstLine="709"/>
        <w:jc w:val="both"/>
        <w:tabs>
          <w:tab w:val="left" w:pos="284" w:leader="none"/>
        </w:tabs>
        <w:rPr>
          <w:sz w:val="22"/>
          <w:szCs w:val="22"/>
          <w:highlight w:val="none"/>
          <w14:ligatures w14:val="none"/>
        </w:rPr>
      </w:pPr>
      <w:r>
        <w:rPr>
          <w:sz w:val="22"/>
          <w:szCs w:val="22"/>
          <w:highlight w:val="none"/>
        </w:rPr>
        <w:t xml:space="preserve">Сведен</w:t>
      </w:r>
      <w:r>
        <w:rPr>
          <w:sz w:val="22"/>
          <w:szCs w:val="22"/>
          <w:highlight w:val="none"/>
        </w:rPr>
        <w:t xml:space="preserve">ия об установлении обременения имущества публичным сервитутом и (или) ограничениями, предусмотренными Федеральным законом от 21.12.2001 № 178-ФЗ «О приватизации государственного и муниципального имущества» и (или) иными федеральными законами – отсутствуют.</w:t>
      </w:r>
      <w:r>
        <w:rPr>
          <w:sz w:val="22"/>
          <w:szCs w:val="22"/>
          <w:highlight w:val="none"/>
          <w14:ligatures w14:val="none"/>
        </w:rPr>
      </w:r>
      <w:r>
        <w:rPr>
          <w:sz w:val="22"/>
          <w:szCs w:val="22"/>
          <w:highlight w:val="none"/>
          <w14:ligatures w14:val="none"/>
        </w:rPr>
      </w:r>
    </w:p>
    <w:p>
      <w:pPr>
        <w:ind w:firstLine="709"/>
        <w:jc w:val="both"/>
        <w:tabs>
          <w:tab w:val="left" w:pos="284" w:leader="none"/>
        </w:tabs>
        <w:rPr>
          <w:sz w:val="22"/>
          <w:szCs w:val="22"/>
          <w:highlight w:val="none"/>
          <w14:ligatures w14:val="none"/>
        </w:rPr>
      </w:pPr>
      <w:r>
        <w:rPr>
          <w:sz w:val="22"/>
          <w:szCs w:val="22"/>
          <w:highlight w:val="none"/>
        </w:rPr>
        <w:t xml:space="preserve">Условия конкурса, формы и сроки их выполнения – отсутствуют.</w:t>
      </w:r>
      <w:r>
        <w:rPr>
          <w:sz w:val="22"/>
          <w:szCs w:val="22"/>
          <w:highlight w:val="none"/>
          <w14:ligatures w14:val="none"/>
        </w:rPr>
      </w:r>
      <w:r>
        <w:rPr>
          <w:sz w:val="22"/>
          <w:szCs w:val="22"/>
          <w:highlight w:val="none"/>
          <w14:ligatures w14:val="none"/>
        </w:rPr>
      </w:r>
    </w:p>
    <w:p>
      <w:pPr>
        <w:ind w:firstLine="709"/>
        <w:jc w:val="both"/>
        <w:tabs>
          <w:tab w:val="left" w:pos="284" w:leader="none"/>
        </w:tabs>
        <w:rPr>
          <w:sz w:val="22"/>
          <w:szCs w:val="22"/>
          <w:highlight w:val="none"/>
          <w14:ligatures w14:val="none"/>
        </w:rPr>
      </w:pPr>
      <w:r>
        <w:rPr>
          <w:sz w:val="22"/>
          <w:szCs w:val="22"/>
          <w:highlight w:val="none"/>
          <w14:ligatures w14:val="none"/>
        </w:rPr>
      </w:r>
      <w:r>
        <w:rPr>
          <w:sz w:val="22"/>
          <w:szCs w:val="22"/>
          <w:highlight w:val="none"/>
          <w14:ligatures w14:val="none"/>
        </w:rPr>
      </w:r>
      <w:r>
        <w:rPr>
          <w:sz w:val="22"/>
          <w:szCs w:val="22"/>
          <w:highlight w:val="none"/>
          <w14:ligatures w14:val="none"/>
        </w:rPr>
      </w:r>
    </w:p>
    <w:p>
      <w:pPr>
        <w:ind w:firstLine="709"/>
        <w:jc w:val="both"/>
        <w:tabs>
          <w:tab w:val="left" w:pos="284" w:leader="none"/>
          <w:tab w:val="clear" w:pos="4153" w:leader="none"/>
          <w:tab w:val="clear" w:pos="8306" w:leader="none"/>
        </w:tabs>
        <w:rPr>
          <w:b/>
          <w:bCs/>
          <w:i/>
          <w:iCs/>
          <w:sz w:val="22"/>
          <w:szCs w:val="22"/>
          <w:highlight w:val="none"/>
          <w14:ligatures w14:val="none"/>
        </w:rPr>
      </w:pPr>
      <w:r>
        <w:rPr>
          <w:sz w:val="22"/>
          <w:szCs w:val="22"/>
          <w:highlight w:val="none"/>
        </w:rPr>
        <w:t xml:space="preserve">2. </w:t>
      </w:r>
      <w:r>
        <w:rPr>
          <w:b/>
          <w:bCs/>
          <w:sz w:val="22"/>
          <w:szCs w:val="22"/>
          <w:highlight w:val="none"/>
        </w:rPr>
        <w:t xml:space="preserve">Лот № 2:</w:t>
      </w:r>
      <w:r>
        <w:rPr>
          <w:b/>
          <w:bCs/>
          <w:sz w:val="22"/>
          <w:szCs w:val="22"/>
          <w:highlight w:val="none"/>
        </w:rPr>
        <w:t xml:space="preserve"> </w:t>
      </w:r>
      <w:r>
        <w:rPr>
          <w:b/>
          <w:bCs/>
          <w:i/>
          <w:iCs/>
          <w:sz w:val="22"/>
          <w:szCs w:val="22"/>
          <w:highlight w:val="none"/>
        </w:rPr>
        <w:t xml:space="preserve">По</w:t>
      </w:r>
      <w:r>
        <w:rPr>
          <w:b/>
          <w:bCs/>
          <w:i/>
          <w:iCs/>
          <w:sz w:val="22"/>
          <w:szCs w:val="22"/>
          <w:highlight w:val="none"/>
        </w:rPr>
        <w:t xml:space="preserve">мещение, площадь 758,2 </w:t>
      </w:r>
      <w:r>
        <w:rPr>
          <w:b/>
          <w:bCs/>
          <w:i/>
          <w:iCs/>
          <w:sz w:val="22"/>
          <w:szCs w:val="22"/>
          <w:highlight w:val="none"/>
        </w:rPr>
        <w:t xml:space="preserve">кв.м</w:t>
      </w:r>
      <w:r>
        <w:rPr>
          <w:b/>
          <w:bCs/>
          <w:i/>
          <w:iCs/>
          <w:sz w:val="22"/>
          <w:szCs w:val="22"/>
          <w:highlight w:val="none"/>
        </w:rPr>
        <w:t xml:space="preserve">., назначение: нежилое помещение, кадастровый номер: 54:35:101095:1233, расположенное по адресу: Новосибирская область, город Новосибирск, Красный проспект, дом 74</w:t>
      </w:r>
      <w:r>
        <w:rPr>
          <w:b/>
          <w:bCs/>
          <w:i/>
          <w:iCs/>
          <w:sz w:val="22"/>
          <w:szCs w:val="22"/>
          <w:highlight w:val="none"/>
        </w:rPr>
        <w:t xml:space="preserve">.</w:t>
      </w:r>
      <w:r>
        <w:rPr>
          <w:b/>
          <w:bCs/>
          <w:i/>
          <w:iCs/>
          <w:sz w:val="22"/>
          <w:szCs w:val="22"/>
          <w:highlight w:val="none"/>
          <w14:ligatures w14:val="none"/>
        </w:rPr>
      </w:r>
      <w:r>
        <w:rPr>
          <w:b/>
          <w:bCs/>
          <w:i/>
          <w:iCs/>
          <w:sz w:val="22"/>
          <w:szCs w:val="22"/>
          <w:highlight w:val="none"/>
          <w14:ligatures w14:val="none"/>
        </w:rPr>
      </w:r>
    </w:p>
    <w:p>
      <w:pPr>
        <w:ind w:firstLine="709"/>
        <w:jc w:val="both"/>
        <w:tabs>
          <w:tab w:val="left" w:pos="284" w:leader="none"/>
          <w:tab w:val="clear" w:pos="4153" w:leader="none"/>
          <w:tab w:val="clear" w:pos="8306" w:leader="none"/>
        </w:tabs>
        <w:rPr>
          <w:sz w:val="22"/>
          <w:szCs w:val="22"/>
          <w:highlight w:val="none"/>
          <w14:ligatures w14:val="none"/>
        </w:rPr>
      </w:pP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  <w:t xml:space="preserve">Решение об условиях приватизации принято приказом департамента имущества и земельных отношений Новосибирской области от 26.02.2025 № 677 «</w:t>
      </w:r>
      <w:r>
        <w:rPr>
          <w:sz w:val="22"/>
          <w:szCs w:val="22"/>
        </w:rPr>
        <w:t xml:space="preserve">Об условиях приватизации находящегося в государственной собственности Новосибирской области имущества, расположенного по адресу: г. Новосибирск, Красный проспект, д. 74, кадастровый номер 54:35:101095:123</w:t>
      </w:r>
      <w:r>
        <w:rPr>
          <w:sz w:val="22"/>
          <w:szCs w:val="22"/>
        </w:rPr>
        <w:t xml:space="preserve">3</w:t>
      </w:r>
      <w:r>
        <w:rPr>
          <w:sz w:val="22"/>
          <w:szCs w:val="22"/>
          <w:highlight w:val="none"/>
        </w:rPr>
        <w:t xml:space="preserve">».</w:t>
      </w:r>
      <w:r>
        <w:rPr>
          <w:sz w:val="22"/>
          <w:szCs w:val="22"/>
          <w:highlight w:val="none"/>
          <w14:ligatures w14:val="none"/>
        </w:rPr>
      </w:r>
      <w:r>
        <w:rPr>
          <w:sz w:val="22"/>
          <w:szCs w:val="22"/>
          <w:highlight w:val="none"/>
          <w14:ligatures w14:val="none"/>
        </w:rPr>
      </w:r>
    </w:p>
    <w:p>
      <w:pPr>
        <w:ind w:firstLine="709"/>
        <w:jc w:val="both"/>
        <w:tabs>
          <w:tab w:val="left" w:pos="284" w:leader="none"/>
        </w:tabs>
        <w:rPr>
          <w:sz w:val="22"/>
          <w:szCs w:val="22"/>
          <w:highlight w:val="none"/>
          <w14:ligatures w14:val="none"/>
        </w:rPr>
      </w:pPr>
      <w:r>
        <w:rPr>
          <w:sz w:val="22"/>
          <w:szCs w:val="22"/>
          <w:highlight w:val="none"/>
        </w:rPr>
        <w:t xml:space="preserve">Собственник имущества – Новосибирская область.</w:t>
      </w:r>
      <w:r>
        <w:rPr>
          <w:sz w:val="22"/>
          <w:szCs w:val="22"/>
          <w:highlight w:val="none"/>
        </w:rPr>
        <w:tab/>
      </w:r>
      <w:r>
        <w:rPr>
          <w:sz w:val="22"/>
          <w:szCs w:val="22"/>
          <w:highlight w:val="none"/>
          <w14:ligatures w14:val="none"/>
        </w:rPr>
      </w:r>
      <w:r>
        <w:rPr>
          <w:sz w:val="22"/>
          <w:szCs w:val="22"/>
          <w:highlight w:val="none"/>
          <w14:ligatures w14:val="none"/>
        </w:rPr>
      </w:r>
    </w:p>
    <w:p>
      <w:pPr>
        <w:ind w:firstLine="709"/>
        <w:jc w:val="both"/>
        <w:tabs>
          <w:tab w:val="left" w:pos="284" w:leader="none"/>
        </w:tabs>
        <w:rPr>
          <w:sz w:val="22"/>
          <w:szCs w:val="22"/>
          <w:highlight w:val="none"/>
          <w14:ligatures w14:val="none"/>
        </w:rPr>
      </w:pPr>
      <w:r>
        <w:rPr>
          <w:sz w:val="22"/>
          <w:szCs w:val="22"/>
          <w:highlight w:val="none"/>
        </w:rPr>
        <w:t xml:space="preserve">Сведения о наличии в отношении имущества обременения, сохраняемого при переходе прав на указанное имущество: правами третьих лиц не обременен, в споре и под арестом не состоит. </w:t>
      </w:r>
      <w:r>
        <w:rPr>
          <w:sz w:val="22"/>
          <w:szCs w:val="22"/>
          <w:highlight w:val="none"/>
        </w:rPr>
        <w:t xml:space="preserve">Ограничений в пользовании не имеется.</w:t>
      </w:r>
      <w:r>
        <w:rPr>
          <w:sz w:val="22"/>
          <w:szCs w:val="22"/>
          <w:highlight w:val="none"/>
          <w14:ligatures w14:val="none"/>
        </w:rPr>
      </w:r>
      <w:r>
        <w:rPr>
          <w:sz w:val="22"/>
          <w:szCs w:val="22"/>
          <w:highlight w:val="none"/>
          <w14:ligatures w14:val="none"/>
        </w:rPr>
      </w:r>
    </w:p>
    <w:p>
      <w:pPr>
        <w:ind w:firstLine="709"/>
        <w:jc w:val="both"/>
        <w:tabs>
          <w:tab w:val="left" w:pos="284" w:leader="none"/>
          <w:tab w:val="clear" w:pos="4677" w:leader="none"/>
          <w:tab w:val="clear" w:pos="9355" w:leader="none"/>
        </w:tabs>
        <w:rPr>
          <w:sz w:val="22"/>
          <w:szCs w:val="22"/>
          <w:highlight w:val="none"/>
          <w14:ligatures w14:val="none"/>
        </w:rPr>
      </w:pPr>
      <w:r>
        <w:rPr>
          <w:sz w:val="22"/>
          <w:szCs w:val="22"/>
          <w:highlight w:val="none"/>
        </w:rPr>
        <w:t xml:space="preserve">На</w:t>
      </w:r>
      <w:r>
        <w:rPr>
          <w:sz w:val="22"/>
          <w:szCs w:val="22"/>
          <w:highlight w:val="none"/>
        </w:rPr>
        <w:t xml:space="preserve">чальная цена</w:t>
      </w:r>
      <w:r>
        <w:rPr>
          <w:sz w:val="22"/>
          <w:szCs w:val="22"/>
          <w:highlight w:val="none"/>
        </w:rPr>
        <w:t xml:space="preserve"> </w:t>
      </w:r>
      <w:r>
        <w:rPr>
          <w:sz w:val="22"/>
          <w:szCs w:val="22"/>
          <w:highlight w:val="none"/>
        </w:rPr>
        <w:t xml:space="preserve">продажи</w:t>
      </w:r>
      <w:r>
        <w:rPr>
          <w:sz w:val="22"/>
          <w:szCs w:val="22"/>
          <w:highlight w:val="none"/>
        </w:rPr>
        <w:t xml:space="preserve"> </w:t>
      </w:r>
      <w:r>
        <w:rPr>
          <w:sz w:val="22"/>
          <w:szCs w:val="22"/>
          <w:highlight w:val="none"/>
        </w:rPr>
        <w:t xml:space="preserve">имущества</w:t>
      </w:r>
      <w:r>
        <w:rPr>
          <w:sz w:val="22"/>
          <w:szCs w:val="22"/>
          <w:highlight w:val="none"/>
        </w:rPr>
        <w:t xml:space="preserve"> – 42 316 000</w:t>
      </w:r>
      <w:r>
        <w:rPr>
          <w:sz w:val="22"/>
          <w:szCs w:val="22"/>
          <w:highlight w:val="none"/>
        </w:rPr>
        <w:t xml:space="preserve"> </w:t>
      </w:r>
      <w:r>
        <w:rPr>
          <w:sz w:val="22"/>
          <w:szCs w:val="22"/>
          <w:highlight w:val="none"/>
        </w:rPr>
        <w:t xml:space="preserve">рублей</w:t>
      </w:r>
      <w:r>
        <w:rPr>
          <w:sz w:val="22"/>
          <w:szCs w:val="22"/>
          <w:highlight w:val="none"/>
        </w:rPr>
        <w:t xml:space="preserve"> с учётом НДС.</w:t>
      </w:r>
      <w:r>
        <w:rPr>
          <w:sz w:val="22"/>
          <w:szCs w:val="22"/>
          <w:highlight w:val="none"/>
          <w14:ligatures w14:val="none"/>
        </w:rPr>
      </w:r>
      <w:r>
        <w:rPr>
          <w:sz w:val="22"/>
          <w:szCs w:val="22"/>
          <w:highlight w:val="none"/>
          <w14:ligatures w14:val="none"/>
        </w:rPr>
      </w:r>
    </w:p>
    <w:p>
      <w:pPr>
        <w:ind w:firstLine="709"/>
        <w:jc w:val="both"/>
        <w:tabs>
          <w:tab w:val="left" w:pos="284" w:leader="none"/>
          <w:tab w:val="clear" w:pos="4677" w:leader="none"/>
          <w:tab w:val="clear" w:pos="9355" w:leader="none"/>
        </w:tabs>
        <w:rPr>
          <w:sz w:val="22"/>
          <w:szCs w:val="22"/>
          <w:highlight w:val="none"/>
          <w14:ligatures w14:val="none"/>
        </w:rPr>
      </w:pPr>
      <w:r>
        <w:rPr>
          <w:sz w:val="22"/>
          <w:szCs w:val="22"/>
          <w:highlight w:val="none"/>
        </w:rPr>
        <w:t xml:space="preserve">Размер задатка</w:t>
      </w:r>
      <w:r>
        <w:rPr>
          <w:sz w:val="22"/>
          <w:szCs w:val="22"/>
          <w:highlight w:val="none"/>
        </w:rPr>
        <w:t xml:space="preserve"> – </w:t>
      </w:r>
      <w:r>
        <w:rPr>
          <w:sz w:val="22"/>
          <w:szCs w:val="22"/>
          <w:highlight w:val="none"/>
        </w:rPr>
        <w:t xml:space="preserve">4 231 600 </w:t>
      </w:r>
      <w:r>
        <w:rPr>
          <w:sz w:val="22"/>
          <w:szCs w:val="22"/>
          <w:highlight w:val="none"/>
        </w:rPr>
        <w:t xml:space="preserve">рублей</w:t>
      </w:r>
      <w:r>
        <w:rPr>
          <w:sz w:val="22"/>
          <w:szCs w:val="22"/>
          <w:highlight w:val="none"/>
        </w:rPr>
        <w:t xml:space="preserve">.</w:t>
      </w:r>
      <w:r>
        <w:rPr>
          <w:sz w:val="22"/>
          <w:szCs w:val="22"/>
          <w:highlight w:val="none"/>
          <w14:ligatures w14:val="none"/>
        </w:rPr>
      </w:r>
      <w:r>
        <w:rPr>
          <w:sz w:val="22"/>
          <w:szCs w:val="22"/>
          <w:highlight w:val="none"/>
          <w14:ligatures w14:val="none"/>
        </w:rPr>
      </w:r>
    </w:p>
    <w:p>
      <w:pPr>
        <w:ind w:firstLine="709"/>
        <w:jc w:val="both"/>
        <w:tabs>
          <w:tab w:val="left" w:pos="284" w:leader="none"/>
          <w:tab w:val="clear" w:pos="4677" w:leader="none"/>
          <w:tab w:val="clear" w:pos="9355" w:leader="none"/>
        </w:tabs>
        <w:rPr>
          <w:sz w:val="22"/>
          <w:szCs w:val="22"/>
          <w:highlight w:val="none"/>
          <w14:ligatures w14:val="none"/>
        </w:rPr>
      </w:pPr>
      <w:r>
        <w:rPr>
          <w:sz w:val="22"/>
          <w:szCs w:val="22"/>
          <w:highlight w:val="none"/>
        </w:rPr>
        <w:t xml:space="preserve">Величина повышения начальной цены («шаг аукциона»): –</w:t>
      </w:r>
      <w:r>
        <w:rPr>
          <w:sz w:val="22"/>
          <w:szCs w:val="22"/>
          <w:highlight w:val="none"/>
        </w:rPr>
        <w:t xml:space="preserve"> 2 115 800 </w:t>
      </w:r>
      <w:r>
        <w:rPr>
          <w:sz w:val="22"/>
          <w:szCs w:val="22"/>
          <w:highlight w:val="none"/>
        </w:rPr>
        <w:t xml:space="preserve">рублей</w:t>
      </w:r>
      <w:r>
        <w:rPr>
          <w:sz w:val="22"/>
          <w:szCs w:val="22"/>
          <w:highlight w:val="none"/>
        </w:rPr>
        <w:t xml:space="preserve">. </w:t>
      </w:r>
      <w:r>
        <w:rPr>
          <w:sz w:val="22"/>
          <w:szCs w:val="22"/>
          <w:highlight w:val="none"/>
          <w14:ligatures w14:val="none"/>
        </w:rPr>
      </w:r>
      <w:r>
        <w:rPr>
          <w:sz w:val="22"/>
          <w:szCs w:val="22"/>
          <w:highlight w:val="none"/>
          <w14:ligatures w14:val="none"/>
        </w:rPr>
      </w:r>
    </w:p>
    <w:p>
      <w:pPr>
        <w:ind w:firstLine="709"/>
        <w:jc w:val="both"/>
        <w:tabs>
          <w:tab w:val="left" w:pos="284" w:leader="none"/>
        </w:tabs>
        <w:rPr>
          <w:sz w:val="22"/>
          <w:szCs w:val="22"/>
          <w:highlight w:val="none"/>
          <w14:ligatures w14:val="none"/>
        </w:rPr>
      </w:pPr>
      <w:r>
        <w:rPr>
          <w:sz w:val="22"/>
          <w:szCs w:val="22"/>
          <w:highlight w:val="none"/>
        </w:rPr>
        <w:t xml:space="preserve">Средства платежа</w:t>
      </w:r>
      <w:r>
        <w:rPr>
          <w:sz w:val="22"/>
          <w:szCs w:val="22"/>
          <w:highlight w:val="none"/>
        </w:rPr>
        <w:t xml:space="preserve">: денежные средства в валюте Российской Федерации (рубли).</w:t>
      </w:r>
      <w:r>
        <w:rPr>
          <w:sz w:val="22"/>
          <w:szCs w:val="22"/>
          <w:highlight w:val="none"/>
          <w14:ligatures w14:val="none"/>
        </w:rPr>
      </w:r>
      <w:r>
        <w:rPr>
          <w:sz w:val="22"/>
          <w:szCs w:val="22"/>
          <w:highlight w:val="none"/>
          <w14:ligatures w14:val="none"/>
        </w:rPr>
      </w:r>
    </w:p>
    <w:p>
      <w:pPr>
        <w:ind w:firstLine="709"/>
        <w:jc w:val="both"/>
        <w:tabs>
          <w:tab w:val="left" w:pos="284" w:leader="none"/>
        </w:tabs>
        <w:rPr>
          <w:sz w:val="22"/>
          <w:szCs w:val="22"/>
          <w:highlight w:val="none"/>
          <w14:ligatures w14:val="none"/>
        </w:rPr>
      </w:pP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  <w:t xml:space="preserve">Сведения о предыдущих торгах по продаже имущества, объявленных в течение года, предшествующего продаже, и об итогах торгов по продаже имущества</w:t>
      </w:r>
      <w:r>
        <w:rPr>
          <w:sz w:val="22"/>
          <w:szCs w:val="22"/>
          <w:highlight w:val="none"/>
        </w:rPr>
        <w:t xml:space="preserve">: </w:t>
      </w:r>
      <w:r>
        <w:rPr>
          <w:sz w:val="22"/>
          <w:szCs w:val="22"/>
          <w:highlight w:val="none"/>
        </w:rPr>
        <w:t xml:space="preserve">имущество выставлялось на продажу пять раз в 2024 году, два раза в 2025 году. Торги признаны не состоявшимися в связи с отсутствием заявок.</w:t>
      </w:r>
      <w:r>
        <w:rPr>
          <w:sz w:val="22"/>
          <w:szCs w:val="22"/>
          <w:highlight w:val="none"/>
          <w14:ligatures w14:val="none"/>
        </w:rPr>
      </w:r>
      <w:r>
        <w:rPr>
          <w:sz w:val="22"/>
          <w:szCs w:val="22"/>
          <w:highlight w:val="none"/>
          <w14:ligatures w14:val="none"/>
        </w:rPr>
      </w:r>
    </w:p>
    <w:p>
      <w:pPr>
        <w:ind w:firstLine="709"/>
        <w:jc w:val="both"/>
        <w:tabs>
          <w:tab w:val="left" w:pos="284" w:leader="none"/>
        </w:tabs>
        <w:rPr>
          <w:sz w:val="22"/>
          <w:szCs w:val="22"/>
          <w:highlight w:val="none"/>
          <w14:ligatures w14:val="none"/>
        </w:rPr>
      </w:pPr>
      <w:r>
        <w:rPr>
          <w:sz w:val="22"/>
          <w:szCs w:val="22"/>
          <w:highlight w:val="none"/>
        </w:rPr>
        <w:t xml:space="preserve">Сведен</w:t>
      </w:r>
      <w:r>
        <w:rPr>
          <w:sz w:val="22"/>
          <w:szCs w:val="22"/>
          <w:highlight w:val="none"/>
        </w:rPr>
        <w:t xml:space="preserve">ия об установлении обременения имущества публичным сервитутом и (или) ограничениями, предусмотренными Федеральным законом от 21.12.2001 № 178-ФЗ «О приватизации государственного и муниципального имущества» и (или) иными федеральными законами – отсутствуют.</w:t>
      </w:r>
      <w:r>
        <w:rPr>
          <w:sz w:val="22"/>
          <w:szCs w:val="22"/>
          <w:highlight w:val="none"/>
          <w14:ligatures w14:val="none"/>
        </w:rPr>
      </w:r>
      <w:r>
        <w:rPr>
          <w:sz w:val="22"/>
          <w:szCs w:val="22"/>
          <w:highlight w:val="none"/>
          <w14:ligatures w14:val="none"/>
        </w:rPr>
      </w:r>
    </w:p>
    <w:p>
      <w:pPr>
        <w:ind w:firstLine="709"/>
        <w:jc w:val="both"/>
        <w:tabs>
          <w:tab w:val="left" w:pos="284" w:leader="none"/>
        </w:tabs>
        <w:rPr>
          <w:sz w:val="22"/>
          <w:szCs w:val="22"/>
          <w:highlight w:val="none"/>
          <w14:ligatures w14:val="none"/>
        </w:rPr>
      </w:pPr>
      <w:r>
        <w:rPr>
          <w:sz w:val="22"/>
          <w:szCs w:val="22"/>
          <w:highlight w:val="none"/>
        </w:rPr>
        <w:t xml:space="preserve">Условия конкурса, формы и сроки их выполнения – отсутствуют.</w:t>
      </w:r>
      <w:r>
        <w:rPr>
          <w:sz w:val="22"/>
          <w:szCs w:val="22"/>
          <w:highlight w:val="none"/>
          <w14:ligatures w14:val="none"/>
        </w:rPr>
      </w:r>
      <w:r>
        <w:rPr>
          <w:sz w:val="22"/>
          <w:szCs w:val="22"/>
          <w:highlight w:val="none"/>
          <w14:ligatures w14:val="none"/>
        </w:rPr>
      </w:r>
    </w:p>
    <w:p>
      <w:pPr>
        <w:ind w:firstLine="709"/>
        <w:jc w:val="both"/>
        <w:tabs>
          <w:tab w:val="left" w:pos="284" w:leader="none"/>
        </w:tabs>
        <w:rPr>
          <w:sz w:val="22"/>
          <w:szCs w:val="22"/>
          <w:highlight w:val="none"/>
          <w14:ligatures w14:val="none"/>
        </w:rPr>
      </w:pPr>
      <w:r>
        <w:rPr>
          <w:sz w:val="22"/>
          <w:szCs w:val="22"/>
          <w:highlight w:val="none"/>
          <w14:ligatures w14:val="none"/>
        </w:rPr>
      </w:r>
      <w:r>
        <w:rPr>
          <w:sz w:val="22"/>
          <w:szCs w:val="22"/>
          <w:highlight w:val="none"/>
          <w14:ligatures w14:val="none"/>
        </w:rPr>
      </w:r>
      <w:r>
        <w:rPr>
          <w:sz w:val="22"/>
          <w:szCs w:val="22"/>
          <w:highlight w:val="none"/>
          <w14:ligatures w14:val="none"/>
        </w:rPr>
      </w:r>
    </w:p>
    <w:p>
      <w:pPr>
        <w:ind w:firstLine="709"/>
        <w:jc w:val="both"/>
        <w:tabs>
          <w:tab w:val="left" w:pos="284" w:leader="none"/>
          <w:tab w:val="clear" w:pos="4153" w:leader="none"/>
          <w:tab w:val="clear" w:pos="8306" w:leader="none"/>
        </w:tabs>
        <w:rPr>
          <w:sz w:val="22"/>
          <w:szCs w:val="22"/>
          <w:highlight w:val="none"/>
          <w14:ligatures w14:val="none"/>
        </w:rPr>
      </w:pPr>
      <w:r>
        <w:rPr>
          <w:sz w:val="22"/>
          <w:szCs w:val="22"/>
          <w:highlight w:val="none"/>
        </w:rPr>
        <w:t xml:space="preserve">3. </w:t>
      </w:r>
      <w:r>
        <w:rPr>
          <w:b/>
          <w:bCs/>
          <w:sz w:val="22"/>
          <w:szCs w:val="22"/>
          <w:highlight w:val="none"/>
        </w:rPr>
        <w:t xml:space="preserve">Лот № 3:</w:t>
      </w:r>
      <w:r>
        <w:rPr>
          <w:sz w:val="22"/>
          <w:szCs w:val="22"/>
          <w:highlight w:val="none"/>
        </w:rPr>
        <w:t xml:space="preserve"> </w:t>
      </w:r>
      <w:r>
        <w:rPr>
          <w:b/>
          <w:bCs/>
          <w:i/>
          <w:iCs/>
          <w:sz w:val="22"/>
          <w:szCs w:val="22"/>
        </w:rPr>
        <w:t xml:space="preserve">Помещение</w:t>
      </w:r>
      <w:r>
        <w:rPr>
          <w:b/>
          <w:bCs/>
          <w:i/>
          <w:iCs/>
          <w:sz w:val="22"/>
          <w:szCs w:val="22"/>
        </w:rPr>
        <w:t xml:space="preserve">,</w:t>
      </w:r>
      <w:r>
        <w:rPr>
          <w:b/>
          <w:bCs/>
          <w:i/>
          <w:iCs/>
          <w:sz w:val="22"/>
          <w:szCs w:val="22"/>
        </w:rPr>
        <w:t xml:space="preserve"> площадь </w:t>
      </w:r>
      <w:r>
        <w:rPr>
          <w:b/>
          <w:bCs/>
          <w:i/>
          <w:iCs/>
          <w:sz w:val="22"/>
          <w:szCs w:val="22"/>
        </w:rPr>
        <w:t xml:space="preserve">760,4</w:t>
      </w:r>
      <w:r>
        <w:rPr>
          <w:b/>
          <w:bCs/>
          <w:i/>
          <w:iCs/>
          <w:sz w:val="22"/>
          <w:szCs w:val="22"/>
        </w:rPr>
        <w:t xml:space="preserve"> </w:t>
      </w:r>
      <w:r>
        <w:rPr>
          <w:b/>
          <w:bCs/>
          <w:i/>
          <w:iCs/>
          <w:sz w:val="22"/>
          <w:szCs w:val="22"/>
        </w:rPr>
        <w:t xml:space="preserve">кв.м., </w:t>
      </w:r>
      <w:r>
        <w:rPr>
          <w:b/>
          <w:bCs/>
          <w:i/>
          <w:iCs/>
          <w:sz w:val="22"/>
          <w:szCs w:val="22"/>
        </w:rPr>
        <w:t xml:space="preserve">назначение: нежилое</w:t>
      </w:r>
      <w:r>
        <w:rPr>
          <w:b/>
          <w:bCs/>
          <w:i/>
          <w:iCs/>
          <w:sz w:val="22"/>
          <w:szCs w:val="22"/>
        </w:rPr>
        <w:t xml:space="preserve"> помещение</w:t>
      </w:r>
      <w:r>
        <w:rPr>
          <w:b/>
          <w:bCs/>
          <w:i/>
          <w:iCs/>
          <w:sz w:val="22"/>
          <w:szCs w:val="22"/>
        </w:rPr>
        <w:t xml:space="preserve">,</w:t>
      </w:r>
      <w:r>
        <w:rPr>
          <w:b/>
          <w:bCs/>
          <w:i/>
          <w:iCs/>
          <w:sz w:val="22"/>
          <w:szCs w:val="22"/>
        </w:rPr>
        <w:t xml:space="preserve"> </w:t>
      </w:r>
      <w:r>
        <w:rPr>
          <w:b/>
          <w:bCs/>
          <w:i/>
          <w:iCs/>
          <w:sz w:val="22"/>
          <w:szCs w:val="22"/>
        </w:rPr>
        <w:t xml:space="preserve">кадастровый номер: 54:35:</w:t>
      </w:r>
      <w:r>
        <w:rPr>
          <w:b/>
          <w:bCs/>
          <w:i/>
          <w:iCs/>
          <w:sz w:val="22"/>
          <w:szCs w:val="22"/>
        </w:rPr>
        <w:t xml:space="preserve">101095</w:t>
      </w:r>
      <w:r>
        <w:rPr>
          <w:b/>
          <w:bCs/>
          <w:i/>
          <w:iCs/>
          <w:sz w:val="22"/>
          <w:szCs w:val="22"/>
        </w:rPr>
        <w:t xml:space="preserve">:</w:t>
      </w:r>
      <w:r>
        <w:rPr>
          <w:b/>
          <w:bCs/>
          <w:i/>
          <w:iCs/>
          <w:sz w:val="22"/>
          <w:szCs w:val="22"/>
        </w:rPr>
        <w:t xml:space="preserve">1232</w:t>
      </w:r>
      <w:r>
        <w:rPr>
          <w:b/>
          <w:bCs/>
          <w:i/>
          <w:iCs/>
          <w:sz w:val="22"/>
          <w:szCs w:val="22"/>
        </w:rPr>
        <w:t xml:space="preserve">, расположенн</w:t>
      </w:r>
      <w:r>
        <w:rPr>
          <w:b/>
          <w:bCs/>
          <w:i/>
          <w:iCs/>
          <w:sz w:val="22"/>
          <w:szCs w:val="22"/>
        </w:rPr>
        <w:t xml:space="preserve">ое</w:t>
      </w:r>
      <w:r>
        <w:rPr>
          <w:b/>
          <w:bCs/>
          <w:i/>
          <w:iCs/>
          <w:sz w:val="22"/>
          <w:szCs w:val="22"/>
        </w:rPr>
        <w:t xml:space="preserve"> по адресу: </w:t>
      </w:r>
      <w:r>
        <w:rPr>
          <w:b/>
          <w:bCs/>
          <w:i/>
          <w:iCs/>
          <w:sz w:val="22"/>
          <w:szCs w:val="22"/>
        </w:rPr>
        <w:t xml:space="preserve">Новосибирская область, г</w:t>
      </w:r>
      <w:r>
        <w:rPr>
          <w:b/>
          <w:bCs/>
          <w:i/>
          <w:iCs/>
          <w:sz w:val="22"/>
          <w:szCs w:val="22"/>
        </w:rPr>
        <w:t xml:space="preserve">ород</w:t>
      </w:r>
      <w:r>
        <w:rPr>
          <w:b/>
          <w:bCs/>
          <w:i/>
          <w:iCs/>
          <w:sz w:val="22"/>
          <w:szCs w:val="22"/>
        </w:rPr>
        <w:t xml:space="preserve"> Новосибирск, </w:t>
      </w:r>
      <w:r>
        <w:rPr>
          <w:b/>
          <w:bCs/>
          <w:i/>
          <w:iCs/>
          <w:sz w:val="22"/>
          <w:szCs w:val="22"/>
        </w:rPr>
        <w:t xml:space="preserve">Красный проспект, дом 74</w:t>
      </w:r>
      <w:r>
        <w:rPr>
          <w:b/>
          <w:bCs/>
          <w:i/>
          <w:iCs/>
          <w:sz w:val="22"/>
          <w:szCs w:val="22"/>
          <w:highlight w:val="none"/>
        </w:rPr>
        <w:t xml:space="preserve">.</w:t>
      </w:r>
      <w:r>
        <w:rPr>
          <w:sz w:val="22"/>
          <w:szCs w:val="22"/>
          <w:highlight w:val="none"/>
          <w14:ligatures w14:val="none"/>
        </w:rPr>
      </w:r>
      <w:r>
        <w:rPr>
          <w:sz w:val="22"/>
          <w:szCs w:val="22"/>
          <w:highlight w:val="none"/>
          <w14:ligatures w14:val="none"/>
        </w:rPr>
      </w:r>
    </w:p>
    <w:p>
      <w:pPr>
        <w:ind w:firstLine="709"/>
        <w:jc w:val="both"/>
        <w:tabs>
          <w:tab w:val="left" w:pos="284" w:leader="none"/>
          <w:tab w:val="clear" w:pos="4153" w:leader="none"/>
          <w:tab w:val="clear" w:pos="8306" w:leader="none"/>
        </w:tabs>
        <w:rPr>
          <w:sz w:val="22"/>
          <w:szCs w:val="22"/>
          <w:highlight w:val="none"/>
          <w14:ligatures w14:val="none"/>
        </w:rPr>
      </w:pP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  <w:t xml:space="preserve">Решение об условиях приватизации принято приказом департамента имущества и земельных отношений Новосибирской области от 26.02.2025 № 678 «</w:t>
      </w:r>
      <w:r>
        <w:rPr>
          <w:sz w:val="22"/>
          <w:szCs w:val="22"/>
        </w:rPr>
        <w:t xml:space="preserve">Об условиях приватизации находящегося в государственной собственности Новосибирской области имущества, расположенного по адресу: г. Новосибирск, Красный проспект, д. 74, кадастровый номер 54:35:101095:123</w:t>
      </w:r>
      <w:r>
        <w:rPr>
          <w:sz w:val="22"/>
          <w:szCs w:val="22"/>
          <w:highlight w:val="none"/>
        </w:rPr>
        <w:t xml:space="preserve">2».</w:t>
      </w:r>
      <w:r>
        <w:rPr>
          <w:sz w:val="22"/>
          <w:szCs w:val="22"/>
          <w:highlight w:val="none"/>
          <w14:ligatures w14:val="none"/>
        </w:rPr>
      </w:r>
      <w:r>
        <w:rPr>
          <w:sz w:val="22"/>
          <w:szCs w:val="22"/>
          <w:highlight w:val="none"/>
          <w14:ligatures w14:val="none"/>
        </w:rPr>
      </w:r>
    </w:p>
    <w:p>
      <w:pPr>
        <w:ind w:firstLine="709"/>
        <w:jc w:val="both"/>
        <w:tabs>
          <w:tab w:val="left" w:pos="284" w:leader="none"/>
        </w:tabs>
        <w:rPr>
          <w:sz w:val="22"/>
          <w:szCs w:val="22"/>
          <w:highlight w:val="none"/>
          <w14:ligatures w14:val="none"/>
        </w:rPr>
      </w:pPr>
      <w:r>
        <w:rPr>
          <w:sz w:val="22"/>
          <w:szCs w:val="22"/>
          <w:highlight w:val="none"/>
        </w:rPr>
        <w:t xml:space="preserve">Собственник имущества – Новосибирская область.</w:t>
      </w:r>
      <w:r>
        <w:rPr>
          <w:sz w:val="22"/>
          <w:szCs w:val="22"/>
          <w:highlight w:val="none"/>
        </w:rPr>
        <w:tab/>
      </w:r>
      <w:r>
        <w:rPr>
          <w:sz w:val="22"/>
          <w:szCs w:val="22"/>
          <w:highlight w:val="none"/>
          <w14:ligatures w14:val="none"/>
        </w:rPr>
      </w:r>
      <w:r>
        <w:rPr>
          <w:sz w:val="22"/>
          <w:szCs w:val="22"/>
          <w:highlight w:val="none"/>
          <w14:ligatures w14:val="none"/>
        </w:rPr>
      </w:r>
    </w:p>
    <w:p>
      <w:pPr>
        <w:ind w:firstLine="709"/>
        <w:jc w:val="both"/>
        <w:tabs>
          <w:tab w:val="left" w:pos="284" w:leader="none"/>
        </w:tabs>
        <w:rPr>
          <w:sz w:val="22"/>
          <w:szCs w:val="22"/>
          <w:highlight w:val="none"/>
          <w14:ligatures w14:val="none"/>
        </w:rPr>
      </w:pPr>
      <w:r>
        <w:rPr>
          <w:sz w:val="22"/>
          <w:szCs w:val="22"/>
          <w:highlight w:val="none"/>
        </w:rPr>
        <w:t xml:space="preserve">Сведения о наличии в отношении имущества обременения, сохраняемого при переходе прав на указанное имущество: правами третьих лиц не обременен, в споре и под арестом не состоит. </w:t>
      </w:r>
      <w:r>
        <w:rPr>
          <w:sz w:val="22"/>
          <w:szCs w:val="22"/>
          <w:highlight w:val="none"/>
        </w:rPr>
        <w:t xml:space="preserve">Ограничений в пользовании не имеется.</w:t>
      </w:r>
      <w:r>
        <w:rPr>
          <w:sz w:val="22"/>
          <w:szCs w:val="22"/>
          <w:highlight w:val="none"/>
          <w14:ligatures w14:val="none"/>
        </w:rPr>
      </w:r>
      <w:r>
        <w:rPr>
          <w:sz w:val="22"/>
          <w:szCs w:val="22"/>
          <w:highlight w:val="none"/>
          <w14:ligatures w14:val="none"/>
        </w:rPr>
      </w:r>
    </w:p>
    <w:p>
      <w:pPr>
        <w:ind w:firstLine="709"/>
        <w:jc w:val="both"/>
        <w:tabs>
          <w:tab w:val="left" w:pos="284" w:leader="none"/>
          <w:tab w:val="clear" w:pos="4677" w:leader="none"/>
          <w:tab w:val="clear" w:pos="9355" w:leader="none"/>
        </w:tabs>
        <w:rPr>
          <w:sz w:val="22"/>
          <w:szCs w:val="22"/>
          <w:highlight w:val="none"/>
          <w14:ligatures w14:val="none"/>
        </w:rPr>
      </w:pPr>
      <w:r>
        <w:rPr>
          <w:sz w:val="22"/>
          <w:szCs w:val="22"/>
          <w:highlight w:val="none"/>
        </w:rPr>
        <w:t xml:space="preserve">На</w:t>
      </w:r>
      <w:r>
        <w:rPr>
          <w:sz w:val="22"/>
          <w:szCs w:val="22"/>
          <w:highlight w:val="none"/>
        </w:rPr>
        <w:t xml:space="preserve">чальная цена</w:t>
      </w:r>
      <w:r>
        <w:rPr>
          <w:sz w:val="22"/>
          <w:szCs w:val="22"/>
          <w:highlight w:val="none"/>
        </w:rPr>
        <w:t xml:space="preserve"> </w:t>
      </w:r>
      <w:r>
        <w:rPr>
          <w:sz w:val="22"/>
          <w:szCs w:val="22"/>
          <w:highlight w:val="none"/>
        </w:rPr>
        <w:t xml:space="preserve">продажи</w:t>
      </w:r>
      <w:r>
        <w:rPr>
          <w:sz w:val="22"/>
          <w:szCs w:val="22"/>
          <w:highlight w:val="none"/>
        </w:rPr>
        <w:t xml:space="preserve"> </w:t>
      </w:r>
      <w:r>
        <w:rPr>
          <w:sz w:val="22"/>
          <w:szCs w:val="22"/>
          <w:highlight w:val="none"/>
        </w:rPr>
        <w:t xml:space="preserve">имущества</w:t>
      </w:r>
      <w:r>
        <w:rPr>
          <w:sz w:val="22"/>
          <w:szCs w:val="22"/>
          <w:highlight w:val="none"/>
        </w:rPr>
        <w:t xml:space="preserve"> – 42 438 000</w:t>
      </w:r>
      <w:r>
        <w:rPr>
          <w:sz w:val="22"/>
          <w:szCs w:val="22"/>
          <w:highlight w:val="none"/>
        </w:rPr>
        <w:t xml:space="preserve"> </w:t>
      </w:r>
      <w:r>
        <w:rPr>
          <w:sz w:val="22"/>
          <w:szCs w:val="22"/>
          <w:highlight w:val="none"/>
        </w:rPr>
        <w:t xml:space="preserve">рублей</w:t>
      </w:r>
      <w:r>
        <w:rPr>
          <w:sz w:val="22"/>
          <w:szCs w:val="22"/>
          <w:highlight w:val="none"/>
        </w:rPr>
        <w:t xml:space="preserve"> с учётом НДС.</w:t>
      </w:r>
      <w:r>
        <w:rPr>
          <w:sz w:val="22"/>
          <w:szCs w:val="22"/>
          <w:highlight w:val="none"/>
          <w14:ligatures w14:val="none"/>
        </w:rPr>
      </w:r>
      <w:r>
        <w:rPr>
          <w:sz w:val="22"/>
          <w:szCs w:val="22"/>
          <w:highlight w:val="none"/>
          <w14:ligatures w14:val="none"/>
        </w:rPr>
      </w:r>
    </w:p>
    <w:p>
      <w:pPr>
        <w:ind w:firstLine="709"/>
        <w:jc w:val="both"/>
        <w:tabs>
          <w:tab w:val="left" w:pos="284" w:leader="none"/>
          <w:tab w:val="clear" w:pos="4677" w:leader="none"/>
          <w:tab w:val="clear" w:pos="9355" w:leader="none"/>
        </w:tabs>
        <w:rPr>
          <w:sz w:val="22"/>
          <w:szCs w:val="22"/>
          <w:highlight w:val="none"/>
          <w14:ligatures w14:val="none"/>
        </w:rPr>
      </w:pPr>
      <w:r>
        <w:rPr>
          <w:sz w:val="22"/>
          <w:szCs w:val="22"/>
          <w:highlight w:val="none"/>
        </w:rPr>
        <w:t xml:space="preserve">Размер задатка</w:t>
      </w:r>
      <w:r>
        <w:rPr>
          <w:sz w:val="22"/>
          <w:szCs w:val="22"/>
          <w:highlight w:val="none"/>
        </w:rPr>
        <w:t xml:space="preserve"> – </w:t>
      </w:r>
      <w:r>
        <w:rPr>
          <w:sz w:val="22"/>
          <w:szCs w:val="22"/>
          <w:highlight w:val="none"/>
        </w:rPr>
        <w:t xml:space="preserve">4 243 800 </w:t>
      </w:r>
      <w:r>
        <w:rPr>
          <w:sz w:val="22"/>
          <w:szCs w:val="22"/>
          <w:highlight w:val="none"/>
        </w:rPr>
        <w:t xml:space="preserve">рублей</w:t>
      </w:r>
      <w:r>
        <w:rPr>
          <w:sz w:val="22"/>
          <w:szCs w:val="22"/>
          <w:highlight w:val="none"/>
        </w:rPr>
        <w:t xml:space="preserve">.</w:t>
      </w:r>
      <w:r>
        <w:rPr>
          <w:sz w:val="22"/>
          <w:szCs w:val="22"/>
          <w:highlight w:val="none"/>
          <w14:ligatures w14:val="none"/>
        </w:rPr>
      </w:r>
      <w:r>
        <w:rPr>
          <w:sz w:val="22"/>
          <w:szCs w:val="22"/>
          <w:highlight w:val="none"/>
          <w14:ligatures w14:val="none"/>
        </w:rPr>
      </w:r>
    </w:p>
    <w:p>
      <w:pPr>
        <w:ind w:firstLine="709"/>
        <w:jc w:val="both"/>
        <w:tabs>
          <w:tab w:val="left" w:pos="284" w:leader="none"/>
          <w:tab w:val="clear" w:pos="4677" w:leader="none"/>
          <w:tab w:val="clear" w:pos="9355" w:leader="none"/>
        </w:tabs>
        <w:rPr>
          <w:sz w:val="22"/>
          <w:szCs w:val="22"/>
          <w:highlight w:val="none"/>
          <w14:ligatures w14:val="none"/>
        </w:rPr>
      </w:pPr>
      <w:r>
        <w:rPr>
          <w:sz w:val="22"/>
          <w:szCs w:val="22"/>
          <w:highlight w:val="none"/>
        </w:rPr>
        <w:t xml:space="preserve">Величина повышения начальной цены («шаг аукциона»): –</w:t>
      </w:r>
      <w:r>
        <w:rPr>
          <w:sz w:val="22"/>
          <w:szCs w:val="22"/>
          <w:highlight w:val="none"/>
        </w:rPr>
        <w:t xml:space="preserve"> 2 121 900 </w:t>
      </w:r>
      <w:r>
        <w:rPr>
          <w:sz w:val="22"/>
          <w:szCs w:val="22"/>
          <w:highlight w:val="none"/>
        </w:rPr>
        <w:t xml:space="preserve">рублей</w:t>
      </w:r>
      <w:r>
        <w:rPr>
          <w:sz w:val="22"/>
          <w:szCs w:val="22"/>
          <w:highlight w:val="none"/>
        </w:rPr>
        <w:t xml:space="preserve">. </w:t>
      </w:r>
      <w:r>
        <w:rPr>
          <w:sz w:val="22"/>
          <w:szCs w:val="22"/>
          <w:highlight w:val="none"/>
          <w14:ligatures w14:val="none"/>
        </w:rPr>
      </w:r>
      <w:r>
        <w:rPr>
          <w:sz w:val="22"/>
          <w:szCs w:val="22"/>
          <w:highlight w:val="none"/>
          <w14:ligatures w14:val="none"/>
        </w:rPr>
      </w:r>
    </w:p>
    <w:p>
      <w:pPr>
        <w:ind w:firstLine="709"/>
        <w:jc w:val="both"/>
        <w:tabs>
          <w:tab w:val="left" w:pos="284" w:leader="none"/>
        </w:tabs>
        <w:rPr>
          <w:sz w:val="22"/>
          <w:szCs w:val="22"/>
          <w:highlight w:val="none"/>
          <w14:ligatures w14:val="none"/>
        </w:rPr>
      </w:pPr>
      <w:r>
        <w:rPr>
          <w:sz w:val="22"/>
          <w:szCs w:val="22"/>
          <w:highlight w:val="none"/>
        </w:rPr>
        <w:t xml:space="preserve">Средства платежа</w:t>
      </w:r>
      <w:r>
        <w:rPr>
          <w:sz w:val="22"/>
          <w:szCs w:val="22"/>
          <w:highlight w:val="none"/>
        </w:rPr>
        <w:t xml:space="preserve">: денежные средства в валюте Российской Федерации (рубли).</w:t>
      </w:r>
      <w:r>
        <w:rPr>
          <w:sz w:val="22"/>
          <w:szCs w:val="22"/>
          <w:highlight w:val="none"/>
          <w14:ligatures w14:val="none"/>
        </w:rPr>
      </w:r>
      <w:r>
        <w:rPr>
          <w:sz w:val="22"/>
          <w:szCs w:val="22"/>
          <w:highlight w:val="none"/>
          <w14:ligatures w14:val="none"/>
        </w:rPr>
      </w:r>
    </w:p>
    <w:p>
      <w:pPr>
        <w:ind w:firstLine="709"/>
        <w:jc w:val="both"/>
        <w:tabs>
          <w:tab w:val="left" w:pos="284" w:leader="none"/>
        </w:tabs>
        <w:rPr>
          <w:sz w:val="22"/>
          <w:szCs w:val="22"/>
          <w:highlight w:val="none"/>
          <w14:ligatures w14:val="none"/>
        </w:rPr>
      </w:pP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  <w:t xml:space="preserve">Сведения о предыдущих торгах по продаже имущества, объявленных в течение года, предшествующего продаже, и об итогах торгов по продаже имущества</w:t>
      </w:r>
      <w:r>
        <w:rPr>
          <w:sz w:val="22"/>
          <w:szCs w:val="22"/>
          <w:highlight w:val="none"/>
        </w:rPr>
        <w:t xml:space="preserve">: </w:t>
      </w:r>
      <w:r>
        <w:rPr>
          <w:sz w:val="22"/>
          <w:szCs w:val="22"/>
          <w:highlight w:val="none"/>
        </w:rPr>
        <w:t xml:space="preserve">имущество выставлялось на продажу пять раз в 2024 году, два раза в 2025 году. Торги признаны не состоявшимися в связи с отсутствием заявок.</w:t>
      </w:r>
      <w:r>
        <w:rPr>
          <w:sz w:val="22"/>
          <w:szCs w:val="22"/>
          <w:highlight w:val="none"/>
          <w14:ligatures w14:val="none"/>
        </w:rPr>
      </w:r>
      <w:r>
        <w:rPr>
          <w:sz w:val="22"/>
          <w:szCs w:val="22"/>
          <w:highlight w:val="none"/>
          <w14:ligatures w14:val="none"/>
        </w:rPr>
      </w:r>
    </w:p>
    <w:p>
      <w:pPr>
        <w:ind w:firstLine="709"/>
        <w:jc w:val="both"/>
        <w:tabs>
          <w:tab w:val="left" w:pos="284" w:leader="none"/>
        </w:tabs>
        <w:rPr>
          <w:sz w:val="22"/>
          <w:szCs w:val="22"/>
          <w:highlight w:val="none"/>
          <w14:ligatures w14:val="none"/>
        </w:rPr>
      </w:pPr>
      <w:r>
        <w:rPr>
          <w:sz w:val="22"/>
          <w:szCs w:val="22"/>
          <w:highlight w:val="none"/>
        </w:rPr>
        <w:t xml:space="preserve">Сведен</w:t>
      </w:r>
      <w:r>
        <w:rPr>
          <w:sz w:val="22"/>
          <w:szCs w:val="22"/>
          <w:highlight w:val="none"/>
        </w:rPr>
        <w:t xml:space="preserve">ия об установлении обременения имущества публичным сервитутом и (или) ограничениями, предусмотренными Федеральным законом от 21.12.2001 № 178-ФЗ «О приватизации государственного и муниципального имущества» и (или) иными федеральными законами – отсутствуют.</w:t>
      </w:r>
      <w:r>
        <w:rPr>
          <w:sz w:val="22"/>
          <w:szCs w:val="22"/>
          <w:highlight w:val="none"/>
          <w14:ligatures w14:val="none"/>
        </w:rPr>
      </w:r>
      <w:r>
        <w:rPr>
          <w:sz w:val="22"/>
          <w:szCs w:val="22"/>
          <w:highlight w:val="none"/>
          <w14:ligatures w14:val="none"/>
        </w:rPr>
      </w:r>
    </w:p>
    <w:p>
      <w:pPr>
        <w:ind w:firstLine="709"/>
        <w:jc w:val="both"/>
        <w:tabs>
          <w:tab w:val="left" w:pos="284" w:leader="none"/>
        </w:tabs>
        <w:rPr>
          <w:sz w:val="22"/>
          <w:szCs w:val="22"/>
          <w:highlight w:val="none"/>
          <w14:ligatures w14:val="none"/>
        </w:rPr>
      </w:pPr>
      <w:r>
        <w:rPr>
          <w:sz w:val="22"/>
          <w:szCs w:val="22"/>
          <w:highlight w:val="none"/>
        </w:rPr>
        <w:t xml:space="preserve">Условия конкурса, формы и сроки их выполнения – отсутствуют.</w:t>
      </w:r>
      <w:r>
        <w:rPr>
          <w:sz w:val="22"/>
          <w:szCs w:val="22"/>
          <w:highlight w:val="none"/>
          <w14:ligatures w14:val="none"/>
        </w:rPr>
      </w:r>
      <w:r>
        <w:rPr>
          <w:sz w:val="22"/>
          <w:szCs w:val="22"/>
          <w:highlight w:val="none"/>
          <w14:ligatures w14:val="none"/>
        </w:rPr>
      </w:r>
    </w:p>
    <w:p>
      <w:pPr>
        <w:pStyle w:val="890"/>
        <w:ind w:firstLine="720"/>
        <w:jc w:val="both"/>
        <w:tabs>
          <w:tab w:val="left" w:pos="708" w:leader="none"/>
        </w:tabs>
        <w:rPr>
          <w:b w:val="0"/>
          <w:bCs w:val="0"/>
          <w:i w:val="0"/>
          <w:highlight w:val="none"/>
        </w:rPr>
      </w:pPr>
      <w:r>
        <w:rPr>
          <w:b w:val="0"/>
          <w:bCs w:val="0"/>
          <w:i w:val="0"/>
          <w:iCs w:val="0"/>
          <w:highlight w:val="none"/>
        </w:rPr>
      </w:r>
      <w:r>
        <w:rPr>
          <w:b w:val="0"/>
          <w:bCs w:val="0"/>
          <w:i w:val="0"/>
          <w:highlight w:val="none"/>
        </w:rPr>
      </w:r>
      <w:r>
        <w:rPr>
          <w:b w:val="0"/>
          <w:bCs w:val="0"/>
          <w:i w:val="0"/>
          <w:highlight w:val="none"/>
        </w:rPr>
      </w:r>
    </w:p>
    <w:p>
      <w:pPr>
        <w:pStyle w:val="874"/>
        <w:spacing w:before="0"/>
        <w:rPr>
          <w:b/>
          <w:bCs/>
          <w:color w:val="000000" w:themeColor="text1"/>
          <w:sz w:val="22"/>
          <w:szCs w:val="22"/>
          <w:highlight w:val="none"/>
          <w14:ligatures w14:val="none"/>
        </w:rPr>
      </w:pPr>
      <w:r>
        <w:rPr>
          <w:b w:val="0"/>
          <w:bCs w:val="0"/>
          <w:sz w:val="22"/>
          <w:szCs w:val="22"/>
          <w:u w:val="none"/>
        </w:rPr>
        <w:t xml:space="preserve">4. </w:t>
      </w:r>
      <w:r>
        <w:rPr>
          <w:b/>
          <w:bCs/>
          <w:sz w:val="22"/>
          <w:szCs w:val="22"/>
          <w:u w:val="none"/>
        </w:rPr>
        <w:t xml:space="preserve">Л</w:t>
      </w:r>
      <w:r>
        <w:rPr>
          <w:b/>
          <w:bCs/>
          <w:sz w:val="22"/>
          <w:szCs w:val="22"/>
          <w:u w:val="none"/>
        </w:rPr>
        <w:t xml:space="preserve">от № 4:</w:t>
      </w:r>
      <w:r>
        <w:rPr>
          <w:b/>
          <w:bCs/>
          <w:sz w:val="22"/>
          <w:szCs w:val="22"/>
          <w:u w:val="none"/>
        </w:rPr>
        <w:t xml:space="preserve"> 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Помещение</w:t>
      </w:r>
      <w:r>
        <w:rPr>
          <w:b/>
          <w:bCs/>
          <w:sz w:val="22"/>
          <w:szCs w:val="22"/>
        </w:rPr>
        <w:t xml:space="preserve">,</w:t>
      </w:r>
      <w:r>
        <w:rPr>
          <w:b/>
          <w:bCs/>
          <w:sz w:val="22"/>
          <w:szCs w:val="22"/>
        </w:rPr>
        <w:t xml:space="preserve"> площадь </w:t>
      </w:r>
      <w:r>
        <w:rPr>
          <w:b/>
          <w:bCs/>
          <w:sz w:val="22"/>
          <w:szCs w:val="22"/>
        </w:rPr>
        <w:t xml:space="preserve">192,9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кв.м., </w:t>
      </w:r>
      <w:r>
        <w:rPr>
          <w:b/>
          <w:bCs/>
          <w:sz w:val="22"/>
          <w:szCs w:val="22"/>
        </w:rPr>
        <w:t xml:space="preserve">назначение: нежилое</w:t>
      </w:r>
      <w:r>
        <w:rPr>
          <w:b/>
          <w:bCs/>
          <w:sz w:val="22"/>
          <w:szCs w:val="22"/>
        </w:rPr>
        <w:t xml:space="preserve"> помещение</w:t>
      </w:r>
      <w:r>
        <w:rPr>
          <w:b/>
          <w:bCs/>
          <w:sz w:val="22"/>
          <w:szCs w:val="22"/>
        </w:rPr>
        <w:t xml:space="preserve">,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кадастровый номер: </w:t>
      </w:r>
      <w:r>
        <w:rPr>
          <w:b/>
          <w:bCs/>
          <w:sz w:val="22"/>
          <w:szCs w:val="22"/>
        </w:rPr>
        <w:t xml:space="preserve">54:33</w:t>
      </w:r>
      <w:r>
        <w:rPr>
          <w:b/>
          <w:bCs/>
          <w:sz w:val="22"/>
          <w:szCs w:val="22"/>
        </w:rPr>
        <w:t xml:space="preserve">:</w:t>
      </w:r>
      <w:r>
        <w:rPr>
          <w:b/>
          <w:bCs/>
          <w:sz w:val="22"/>
          <w:szCs w:val="22"/>
        </w:rPr>
        <w:t xml:space="preserve">050415</w:t>
      </w:r>
      <w:r>
        <w:rPr>
          <w:b/>
          <w:bCs/>
          <w:sz w:val="22"/>
          <w:szCs w:val="22"/>
        </w:rPr>
        <w:t xml:space="preserve">:</w:t>
      </w:r>
      <w:r>
        <w:rPr>
          <w:b/>
          <w:bCs/>
          <w:sz w:val="22"/>
          <w:szCs w:val="22"/>
        </w:rPr>
        <w:t xml:space="preserve">90</w:t>
      </w:r>
      <w:r>
        <w:rPr>
          <w:b/>
          <w:bCs/>
          <w:sz w:val="22"/>
          <w:szCs w:val="22"/>
        </w:rPr>
        <w:t xml:space="preserve">, расположенн</w:t>
      </w:r>
      <w:r>
        <w:rPr>
          <w:b/>
          <w:bCs/>
          <w:sz w:val="22"/>
          <w:szCs w:val="22"/>
        </w:rPr>
        <w:t xml:space="preserve">ое</w:t>
      </w:r>
      <w:r>
        <w:rPr>
          <w:b/>
          <w:bCs/>
          <w:sz w:val="22"/>
          <w:szCs w:val="22"/>
        </w:rPr>
        <w:t xml:space="preserve"> по адресу: </w:t>
      </w:r>
      <w:r>
        <w:rPr>
          <w:b/>
          <w:bCs/>
          <w:sz w:val="22"/>
          <w:szCs w:val="22"/>
        </w:rPr>
        <w:t xml:space="preserve">Новосибирская область, город Искитим, улица Свердлова, дом 10</w:t>
      </w:r>
      <w:r>
        <w:rPr>
          <w:b/>
          <w:bCs/>
          <w:sz w:val="22"/>
          <w:szCs w:val="22"/>
        </w:rPr>
        <w:t xml:space="preserve">.</w:t>
      </w:r>
      <w:r>
        <w:rPr>
          <w:b/>
          <w:bCs/>
          <w:color w:val="000000" w:themeColor="text1"/>
          <w:sz w:val="22"/>
          <w:szCs w:val="22"/>
          <w:highlight w:val="none"/>
          <w14:ligatures w14:val="none"/>
        </w:rPr>
      </w:r>
      <w:r>
        <w:rPr>
          <w:b/>
          <w:bCs/>
          <w:color w:val="000000" w:themeColor="text1"/>
          <w:sz w:val="22"/>
          <w:szCs w:val="22"/>
          <w:highlight w:val="none"/>
          <w14:ligatures w14:val="none"/>
        </w:rPr>
      </w:r>
    </w:p>
    <w:p>
      <w:pPr>
        <w:pStyle w:val="874"/>
        <w:ind w:firstLine="708"/>
        <w:spacing w:before="0"/>
        <w:tabs>
          <w:tab w:val="clear" w:pos="4153" w:leader="none"/>
          <w:tab w:val="clear" w:pos="8306" w:leader="none"/>
        </w:tabs>
        <w:rPr>
          <w:sz w:val="22"/>
          <w:szCs w:val="22"/>
          <w14:ligatures w14:val="none"/>
        </w:rPr>
      </w:pPr>
      <w:r>
        <w:rPr>
          <w:b/>
          <w:sz w:val="22"/>
          <w:szCs w:val="22"/>
          <w:highlight w:val="none"/>
        </w:rPr>
      </w:r>
      <w:r>
        <w:rPr>
          <w:sz w:val="22"/>
          <w:szCs w:val="22"/>
        </w:rPr>
        <w:t xml:space="preserve">Решение об условиях приватизации принято приказом департамента имущества и земельных отношений Новосибирской области от 05.06.2025 № 1733 «</w:t>
      </w:r>
      <w:r>
        <w:rPr>
          <w:sz w:val="22"/>
          <w:szCs w:val="22"/>
        </w:rPr>
        <w:t xml:space="preserve">Об условиях приватизации находящегося в государственной собственности Новосибирской области имущества, расположенного по адресу: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Новосибирская область, </w:t>
      </w:r>
      <w:r>
        <w:rPr>
          <w:sz w:val="22"/>
          <w:szCs w:val="22"/>
        </w:rPr>
        <w:t xml:space="preserve">г. Искитим, ул. Свердлова, д. 10</w:t>
      </w:r>
      <w:r>
        <w:rPr>
          <w:sz w:val="22"/>
          <w:szCs w:val="22"/>
        </w:rPr>
        <w:t xml:space="preserve">, и признании утратившим силу приказ департамента имущества и земельных отношений Новосибирской области от 27.01.2025 № 230».</w:t>
      </w:r>
      <w:r>
        <w:rPr>
          <w:sz w:val="22"/>
          <w:szCs w:val="22"/>
          <w14:ligatures w14:val="none"/>
        </w:rPr>
      </w:r>
      <w:r>
        <w:rPr>
          <w:sz w:val="22"/>
          <w:szCs w:val="22"/>
          <w14:ligatures w14:val="none"/>
        </w:rPr>
      </w:r>
    </w:p>
    <w:p>
      <w:pPr>
        <w:pStyle w:val="874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Собственник имущества – Новосибирская область.</w:t>
      </w:r>
      <w:r>
        <w:rPr>
          <w:sz w:val="22"/>
          <w:szCs w:val="22"/>
        </w:rPr>
        <w:tab/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74"/>
        <w:ind w:firstLine="708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Сведения о наличии в отношении имущества обременения, сохраняемого при переходе прав на указанное имущество: правами третьих лиц не обременен, в споре и под арестом не состоит. </w:t>
      </w:r>
      <w:r>
        <w:rPr>
          <w:b w:val="0"/>
          <w:bCs w:val="0"/>
          <w:sz w:val="22"/>
          <w:szCs w:val="22"/>
        </w:rPr>
        <w:t xml:space="preserve">Ограничений в пользовании не имеется.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90"/>
        <w:ind w:firstLine="720"/>
        <w:jc w:val="both"/>
        <w:tabs>
          <w:tab w:val="left" w:pos="708" w:leader="none"/>
        </w:tabs>
        <w:rPr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На</w:t>
      </w:r>
      <w:r>
        <w:rPr>
          <w:b w:val="0"/>
          <w:bCs w:val="0"/>
          <w:sz w:val="22"/>
          <w:szCs w:val="22"/>
        </w:rPr>
        <w:t xml:space="preserve">чальная цена</w:t>
      </w:r>
      <w:r>
        <w:rPr>
          <w:b w:val="0"/>
          <w:bCs w:val="0"/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 xml:space="preserve">продажи</w:t>
      </w:r>
      <w:r>
        <w:rPr>
          <w:b w:val="0"/>
          <w:bCs w:val="0"/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 xml:space="preserve">имущества</w:t>
      </w:r>
      <w:r>
        <w:rPr>
          <w:b w:val="0"/>
          <w:bCs w:val="0"/>
          <w:sz w:val="22"/>
          <w:szCs w:val="22"/>
        </w:rPr>
        <w:t xml:space="preserve"> – </w:t>
      </w:r>
      <w:r>
        <w:rPr>
          <w:b w:val="0"/>
          <w:bCs w:val="0"/>
          <w:sz w:val="22"/>
          <w:szCs w:val="22"/>
        </w:rPr>
        <w:t xml:space="preserve">1 814 000</w:t>
      </w:r>
      <w:r>
        <w:rPr>
          <w:b w:val="0"/>
          <w:bCs w:val="0"/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 xml:space="preserve">рублей</w:t>
      </w:r>
      <w:r>
        <w:rPr>
          <w:b w:val="0"/>
          <w:bCs w:val="0"/>
          <w:sz w:val="22"/>
          <w:szCs w:val="22"/>
        </w:rPr>
        <w:t xml:space="preserve"> с учётом НДС.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90"/>
        <w:ind w:firstLine="720"/>
        <w:jc w:val="both"/>
        <w:tabs>
          <w:tab w:val="left" w:pos="708" w:leader="none"/>
        </w:tabs>
        <w:rPr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Размер задатка</w:t>
      </w:r>
      <w:r>
        <w:rPr>
          <w:b w:val="0"/>
          <w:bCs w:val="0"/>
          <w:sz w:val="22"/>
          <w:szCs w:val="22"/>
        </w:rPr>
        <w:t xml:space="preserve"> – 181 400</w:t>
      </w:r>
      <w:r>
        <w:rPr>
          <w:b w:val="0"/>
          <w:bCs w:val="0"/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 xml:space="preserve">рублей</w:t>
      </w:r>
      <w:r>
        <w:rPr>
          <w:b w:val="0"/>
          <w:bCs w:val="0"/>
          <w:sz w:val="22"/>
          <w:szCs w:val="22"/>
        </w:rPr>
        <w:t xml:space="preserve">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90"/>
        <w:ind w:firstLine="720"/>
        <w:jc w:val="both"/>
        <w:tabs>
          <w:tab w:val="left" w:pos="708" w:leader="none"/>
        </w:tabs>
        <w:rPr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Величина повышения начальной цены («шаг аукциона»): –</w:t>
      </w:r>
      <w:r>
        <w:rPr>
          <w:b w:val="0"/>
          <w:bCs w:val="0"/>
          <w:sz w:val="22"/>
          <w:szCs w:val="22"/>
        </w:rPr>
        <w:t xml:space="preserve"> 90 700</w:t>
      </w:r>
      <w:r>
        <w:rPr>
          <w:b w:val="0"/>
          <w:bCs w:val="0"/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 xml:space="preserve">рублей</w:t>
      </w:r>
      <w:r>
        <w:rPr>
          <w:b w:val="0"/>
          <w:bCs w:val="0"/>
          <w:sz w:val="22"/>
          <w:szCs w:val="22"/>
        </w:rPr>
        <w:t xml:space="preserve">. 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89"/>
        <w:ind w:firstLine="709"/>
        <w:tabs>
          <w:tab w:val="left" w:pos="284" w:leader="none"/>
        </w:tabs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Средства платежа</w:t>
      </w:r>
      <w:r>
        <w:rPr>
          <w:b w:val="0"/>
          <w:bCs w:val="0"/>
          <w:sz w:val="22"/>
          <w:szCs w:val="22"/>
        </w:rPr>
        <w:t xml:space="preserve">: денежные средства в валюте Российской Федерации (рубли).</w:t>
      </w:r>
      <w:r>
        <w:rPr>
          <w:b w:val="0"/>
          <w:bCs w:val="0"/>
          <w:sz w:val="22"/>
          <w:szCs w:val="22"/>
        </w:rPr>
      </w:r>
      <w:r>
        <w:rPr>
          <w:b w:val="0"/>
          <w:bCs w:val="0"/>
          <w:sz w:val="22"/>
          <w:szCs w:val="22"/>
        </w:rPr>
      </w:r>
    </w:p>
    <w:p>
      <w:pPr>
        <w:pStyle w:val="889"/>
        <w:ind w:firstLine="709"/>
        <w:tabs>
          <w:tab w:val="left" w:pos="284" w:leader="none"/>
        </w:tabs>
        <w:rPr>
          <w:b w:val="0"/>
          <w:bCs w:val="0"/>
          <w:sz w:val="22"/>
          <w:szCs w:val="22"/>
          <w:highlight w:val="none"/>
        </w:rPr>
      </w:pPr>
      <w:r>
        <w:rPr>
          <w:b w:val="0"/>
          <w:bCs w:val="0"/>
          <w:sz w:val="22"/>
          <w:szCs w:val="22"/>
        </w:rPr>
      </w:r>
      <w:r>
        <w:rPr>
          <w:b w:val="0"/>
          <w:bCs w:val="0"/>
          <w:sz w:val="22"/>
          <w:szCs w:val="22"/>
        </w:rPr>
        <w:t xml:space="preserve">Сведения о предыдущих торгах по продаже имущества, объявленных в течение года, предшествующего продаже, и об итогах торгов по продаже имущества</w:t>
      </w:r>
      <w:r>
        <w:rPr>
          <w:b w:val="0"/>
          <w:bCs w:val="0"/>
          <w:sz w:val="22"/>
          <w:szCs w:val="22"/>
        </w:rPr>
        <w:t xml:space="preserve">: </w:t>
      </w:r>
      <w:r>
        <w:rPr>
          <w:b w:val="0"/>
          <w:bCs w:val="0"/>
          <w:sz w:val="22"/>
          <w:szCs w:val="22"/>
        </w:rPr>
        <w:t xml:space="preserve">имущество выставлялось на продажу три раза в 2024 году, два раза в 2025 году, торги признаны не состоявшимися в связи с отсутствием заявок.</w:t>
      </w:r>
      <w:r>
        <w:rPr>
          <w:b w:val="0"/>
          <w:bCs w:val="0"/>
          <w:sz w:val="22"/>
          <w:szCs w:val="22"/>
          <w:highlight w:val="none"/>
        </w:rPr>
      </w:r>
      <w:r>
        <w:rPr>
          <w:b w:val="0"/>
          <w:bCs w:val="0"/>
          <w:sz w:val="22"/>
          <w:szCs w:val="22"/>
          <w:highlight w:val="none"/>
        </w:rPr>
      </w:r>
    </w:p>
    <w:p>
      <w:pPr>
        <w:ind w:firstLine="709"/>
        <w:jc w:val="both"/>
        <w:tabs>
          <w:tab w:val="left" w:pos="284" w:leader="none"/>
        </w:tabs>
        <w:rPr>
          <w:sz w:val="22"/>
          <w:szCs w:val="22"/>
        </w:rPr>
      </w:pPr>
      <w:r>
        <w:rPr>
          <w:sz w:val="22"/>
          <w:szCs w:val="22"/>
          <w:highlight w:val="none"/>
        </w:rPr>
        <w:t xml:space="preserve">Сведен</w:t>
      </w:r>
      <w:r>
        <w:rPr>
          <w:sz w:val="22"/>
          <w:szCs w:val="22"/>
          <w:highlight w:val="none"/>
        </w:rPr>
        <w:t xml:space="preserve">ия об установлении обременения имущества публичным сервитутом и (или) ограничениями, предусмотренными Федеральным законом от 21.12.2001 № 178-ФЗ «О приватизации государственного и муниципального имущества» и (или) иными федеральными законами – отсутствуют.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9"/>
        <w:jc w:val="both"/>
        <w:tabs>
          <w:tab w:val="left" w:pos="284" w:leader="none"/>
        </w:tabs>
        <w:rPr>
          <w:sz w:val="22"/>
          <w:szCs w:val="22"/>
          <w:highlight w:val="none"/>
        </w:rPr>
      </w:pPr>
      <w:r>
        <w:rPr>
          <w:sz w:val="22"/>
          <w:szCs w:val="22"/>
          <w:highlight w:val="none"/>
        </w:rPr>
        <w:t xml:space="preserve">Условия конкурса, формы и сроки их выполнения – отсутствуют.</w:t>
      </w: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</w:p>
    <w:p>
      <w:pPr>
        <w:pStyle w:val="890"/>
        <w:jc w:val="both"/>
        <w:tabs>
          <w:tab w:val="left" w:pos="708" w:leader="none"/>
        </w:tabs>
        <w:rPr>
          <w:b/>
          <w:bCs/>
          <w:sz w:val="22"/>
          <w:szCs w:val="22"/>
          <w:highlight w:val="none"/>
        </w:rPr>
      </w:pPr>
      <w:r>
        <w:rPr>
          <w:b/>
          <w:bCs/>
          <w:sz w:val="22"/>
          <w:szCs w:val="22"/>
          <w:highlight w:val="none"/>
        </w:rPr>
      </w:r>
      <w:r>
        <w:rPr>
          <w:b/>
          <w:bCs/>
          <w:sz w:val="22"/>
          <w:szCs w:val="22"/>
          <w:highlight w:val="none"/>
        </w:rPr>
      </w:r>
      <w:r>
        <w:rPr>
          <w:b/>
          <w:bCs/>
          <w:sz w:val="22"/>
          <w:szCs w:val="22"/>
          <w:highlight w:val="none"/>
        </w:rPr>
      </w:r>
    </w:p>
    <w:tbl>
      <w:tblPr>
        <w:tblStyle w:val="726"/>
        <w:tblW w:w="0" w:type="auto"/>
        <w:tblLayout w:type="fixed"/>
        <w:tblLook w:val="04A0" w:firstRow="1" w:lastRow="0" w:firstColumn="1" w:lastColumn="0" w:noHBand="0" w:noVBand="1"/>
      </w:tblPr>
      <w:tblGrid>
        <w:gridCol w:w="3935"/>
        <w:gridCol w:w="6094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35" w:type="dxa"/>
            <w:textDirection w:val="lrTb"/>
            <w:noWrap w:val="false"/>
          </w:tcPr>
          <w:p>
            <w:pPr>
              <w:pStyle w:val="874"/>
              <w:contextualSpacing w:val="0"/>
              <w:ind w:firstLine="0"/>
              <w:jc w:val="both"/>
              <w:spacing w:before="0"/>
              <w:shd w:val="clear" w:color="ffffff" w:themeColor="background1" w:fill="ffffff"/>
              <w:rPr>
                <w:sz w:val="22"/>
                <w:szCs w:val="22"/>
                <w:highlight w:val="white"/>
              </w:rPr>
              <w:suppressLineNumbers w:val="0"/>
            </w:pP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  <w:t xml:space="preserve">Дата и время начала подачи заявок: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094" w:type="dxa"/>
            <w:textDirection w:val="lrTb"/>
            <w:noWrap w:val="false"/>
          </w:tcPr>
          <w:p>
            <w:pPr>
              <w:pStyle w:val="874"/>
              <w:contextualSpacing w:val="0"/>
              <w:ind w:firstLine="0"/>
              <w:jc w:val="both"/>
              <w:spacing w:before="0"/>
              <w:shd w:val="clear" w:color="ffffff" w:themeColor="background1" w:fill="ffffff"/>
              <w:rPr>
                <w:sz w:val="22"/>
                <w:szCs w:val="22"/>
                <w:highlight w:val="white"/>
              </w:rPr>
              <w:suppressLineNumbers w:val="0"/>
            </w:pPr>
            <w:r>
              <w:rPr>
                <w:sz w:val="22"/>
                <w:szCs w:val="22"/>
                <w:highlight w:val="white"/>
              </w:rPr>
            </w:r>
            <w:r>
              <w:rPr>
                <w:b/>
                <w:sz w:val="22"/>
                <w:szCs w:val="22"/>
                <w:highlight w:val="white"/>
              </w:rPr>
              <w:t xml:space="preserve">09.06.2025</w:t>
            </w:r>
            <w:r>
              <w:rPr>
                <w:b/>
                <w:sz w:val="22"/>
                <w:szCs w:val="22"/>
                <w:highlight w:val="white"/>
              </w:rPr>
              <w:t xml:space="preserve"> с </w:t>
            </w:r>
            <w:r>
              <w:rPr>
                <w:b/>
                <w:sz w:val="22"/>
                <w:szCs w:val="22"/>
                <w:highlight w:val="white"/>
              </w:rPr>
              <w:t xml:space="preserve">1</w:t>
            </w:r>
            <w:r>
              <w:rPr>
                <w:b/>
                <w:sz w:val="22"/>
                <w:szCs w:val="22"/>
                <w:highlight w:val="white"/>
              </w:rPr>
              <w:t xml:space="preserve">2 час. 00 мин</w:t>
            </w:r>
            <w:r>
              <w:rPr>
                <w:sz w:val="22"/>
                <w:szCs w:val="22"/>
                <w:highlight w:val="white"/>
              </w:rPr>
              <w:t xml:space="preserve">. </w:t>
            </w:r>
            <w:r>
              <w:rPr>
                <w:b/>
                <w:sz w:val="22"/>
                <w:szCs w:val="22"/>
                <w:highlight w:val="white"/>
              </w:rPr>
              <w:t xml:space="preserve">по </w:t>
            </w:r>
            <w:r>
              <w:rPr>
                <w:b/>
                <w:sz w:val="22"/>
                <w:szCs w:val="22"/>
                <w:highlight w:val="white"/>
              </w:rPr>
              <w:t xml:space="preserve">местному</w:t>
            </w:r>
            <w:r>
              <w:rPr>
                <w:b/>
                <w:sz w:val="22"/>
                <w:szCs w:val="22"/>
                <w:highlight w:val="white"/>
              </w:rPr>
              <w:t xml:space="preserve"> времени</w:t>
            </w:r>
            <w:r>
              <w:rPr>
                <w:sz w:val="22"/>
                <w:szCs w:val="22"/>
                <w:highlight w:val="white"/>
              </w:rPr>
              <w:t xml:space="preserve">.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35" w:type="dxa"/>
            <w:textDirection w:val="lrTb"/>
            <w:noWrap w:val="false"/>
          </w:tcPr>
          <w:p>
            <w:pPr>
              <w:pStyle w:val="874"/>
              <w:contextualSpacing w:val="0"/>
              <w:ind w:firstLine="0"/>
              <w:jc w:val="both"/>
              <w:spacing w:before="0"/>
              <w:shd w:val="clear" w:color="ffffff" w:themeColor="background1" w:fill="ffffff"/>
              <w:rPr>
                <w:sz w:val="22"/>
                <w:szCs w:val="22"/>
                <w:highlight w:val="white"/>
              </w:rPr>
              <w:suppressLineNumbers w:val="0"/>
            </w:pP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  <w:t xml:space="preserve">Дата и время окончания подачи заявок: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094" w:type="dxa"/>
            <w:textDirection w:val="lrTb"/>
            <w:noWrap w:val="false"/>
          </w:tcPr>
          <w:p>
            <w:pPr>
              <w:pStyle w:val="874"/>
              <w:contextualSpacing w:val="0"/>
              <w:ind w:firstLine="0"/>
              <w:jc w:val="both"/>
              <w:spacing w:before="0"/>
              <w:shd w:val="clear" w:color="ffffff" w:themeColor="background1" w:fill="ffffff"/>
              <w:rPr>
                <w:sz w:val="22"/>
                <w:szCs w:val="22"/>
                <w:highlight w:val="white"/>
              </w:rPr>
              <w:suppressLineNumbers w:val="0"/>
            </w:pPr>
            <w:r>
              <w:rPr>
                <w:sz w:val="22"/>
                <w:szCs w:val="22"/>
                <w:highlight w:val="white"/>
              </w:rPr>
            </w:r>
            <w:r>
              <w:rPr>
                <w:b/>
                <w:sz w:val="22"/>
                <w:szCs w:val="22"/>
                <w:highlight w:val="white"/>
              </w:rPr>
              <w:t xml:space="preserve">06.07.2025</w:t>
            </w:r>
            <w:r>
              <w:rPr>
                <w:b/>
                <w:sz w:val="22"/>
                <w:szCs w:val="22"/>
                <w:highlight w:val="white"/>
              </w:rPr>
              <w:t xml:space="preserve"> в </w:t>
            </w:r>
            <w:r>
              <w:rPr>
                <w:b/>
                <w:sz w:val="22"/>
                <w:szCs w:val="22"/>
                <w:highlight w:val="white"/>
              </w:rPr>
              <w:t xml:space="preserve">12</w:t>
            </w:r>
            <w:r>
              <w:rPr>
                <w:b/>
                <w:sz w:val="22"/>
                <w:szCs w:val="22"/>
                <w:highlight w:val="white"/>
              </w:rPr>
              <w:t xml:space="preserve"> час. 00 мин</w:t>
            </w:r>
            <w:r>
              <w:rPr>
                <w:sz w:val="22"/>
                <w:szCs w:val="22"/>
                <w:highlight w:val="white"/>
              </w:rPr>
              <w:t xml:space="preserve">. </w:t>
            </w:r>
            <w:r>
              <w:rPr>
                <w:b/>
                <w:sz w:val="22"/>
                <w:szCs w:val="22"/>
                <w:highlight w:val="white"/>
              </w:rPr>
              <w:t xml:space="preserve">по </w:t>
            </w:r>
            <w:r>
              <w:rPr>
                <w:b/>
                <w:sz w:val="22"/>
                <w:szCs w:val="22"/>
                <w:highlight w:val="white"/>
              </w:rPr>
              <w:t xml:space="preserve">местному</w:t>
            </w:r>
            <w:r>
              <w:rPr>
                <w:b/>
                <w:sz w:val="22"/>
                <w:szCs w:val="22"/>
                <w:highlight w:val="white"/>
              </w:rPr>
              <w:t xml:space="preserve"> времени</w:t>
            </w:r>
            <w:r>
              <w:rPr>
                <w:sz w:val="22"/>
                <w:szCs w:val="22"/>
                <w:highlight w:val="white"/>
              </w:rPr>
              <w:t xml:space="preserve">.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35" w:type="dxa"/>
            <w:textDirection w:val="lrTb"/>
            <w:noWrap w:val="false"/>
          </w:tcPr>
          <w:p>
            <w:pPr>
              <w:pStyle w:val="874"/>
              <w:contextualSpacing w:val="0"/>
              <w:ind w:firstLine="0"/>
              <w:jc w:val="both"/>
              <w:spacing w:before="0"/>
              <w:shd w:val="clear" w:color="ffffff" w:themeColor="background1" w:fill="ffffff"/>
              <w:rPr>
                <w:sz w:val="22"/>
                <w:szCs w:val="22"/>
                <w:highlight w:val="white"/>
              </w:rPr>
              <w:suppressLineNumbers w:val="0"/>
            </w:pP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  <w:t xml:space="preserve">Дат</w:t>
            </w:r>
            <w:r>
              <w:rPr>
                <w:sz w:val="22"/>
                <w:szCs w:val="22"/>
                <w:highlight w:val="white"/>
              </w:rPr>
              <w:t xml:space="preserve">а определения участков аукциона</w:t>
            </w:r>
            <w:r>
              <w:rPr>
                <w:sz w:val="22"/>
                <w:szCs w:val="22"/>
                <w:highlight w:val="white"/>
              </w:rPr>
              <w:t xml:space="preserve">: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094" w:type="dxa"/>
            <w:textDirection w:val="lrTb"/>
            <w:noWrap w:val="false"/>
          </w:tcPr>
          <w:p>
            <w:pPr>
              <w:pStyle w:val="874"/>
              <w:contextualSpacing w:val="0"/>
              <w:ind w:firstLine="0"/>
              <w:jc w:val="both"/>
              <w:spacing w:before="0"/>
              <w:shd w:val="clear" w:color="ffffff" w:themeColor="background1" w:fill="ffffff"/>
              <w:rPr>
                <w:sz w:val="22"/>
                <w:szCs w:val="22"/>
                <w:highlight w:val="white"/>
              </w:rPr>
              <w:suppressLineNumbers w:val="0"/>
            </w:pPr>
            <w:r>
              <w:rPr>
                <w:b/>
                <w:sz w:val="22"/>
                <w:szCs w:val="22"/>
                <w:highlight w:val="none"/>
              </w:rPr>
              <w:t xml:space="preserve">10</w:t>
            </w:r>
            <w:r>
              <w:rPr>
                <w:b/>
                <w:sz w:val="22"/>
                <w:szCs w:val="22"/>
                <w:highlight w:val="white"/>
              </w:rPr>
              <w:t xml:space="preserve">.07.2025</w:t>
            </w:r>
            <w:r>
              <w:rPr>
                <w:b/>
                <w:sz w:val="22"/>
                <w:szCs w:val="22"/>
                <w:highlight w:val="white"/>
              </w:rPr>
              <w:t xml:space="preserve"> в </w:t>
            </w:r>
            <w:r>
              <w:rPr>
                <w:b/>
                <w:sz w:val="22"/>
                <w:szCs w:val="22"/>
                <w:highlight w:val="white"/>
              </w:rPr>
              <w:t xml:space="preserve">1</w:t>
            </w:r>
            <w:r>
              <w:rPr>
                <w:b/>
                <w:sz w:val="22"/>
                <w:szCs w:val="22"/>
                <w:highlight w:val="white"/>
              </w:rPr>
              <w:t xml:space="preserve">2 час. 00 мин. по </w:t>
            </w:r>
            <w:r>
              <w:rPr>
                <w:b/>
                <w:sz w:val="22"/>
                <w:szCs w:val="22"/>
                <w:highlight w:val="white"/>
              </w:rPr>
              <w:t xml:space="preserve">местному</w:t>
            </w:r>
            <w:r>
              <w:rPr>
                <w:b/>
                <w:sz w:val="22"/>
                <w:szCs w:val="22"/>
                <w:highlight w:val="white"/>
              </w:rPr>
              <w:t xml:space="preserve"> </w:t>
            </w:r>
            <w:r>
              <w:rPr>
                <w:b/>
                <w:sz w:val="22"/>
                <w:szCs w:val="22"/>
                <w:highlight w:val="white"/>
              </w:rPr>
              <w:t xml:space="preserve">времени.</w:t>
            </w:r>
            <w:r>
              <w:rPr>
                <w:sz w:val="22"/>
                <w:szCs w:val="22"/>
                <w:highlight w:val="white"/>
              </w:rPr>
              <w:t xml:space="preserve"> 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</w:tbl>
    <w:p>
      <w:pPr>
        <w:pStyle w:val="874"/>
        <w:jc w:val="center"/>
        <w:spacing w:before="0"/>
        <w:rPr>
          <w:rFonts w:eastAsia="Calibri"/>
          <w:b/>
          <w:bCs/>
          <w:sz w:val="22"/>
          <w:szCs w:val="22"/>
          <w:highlight w:val="white"/>
        </w:rPr>
      </w:pPr>
      <w:r>
        <w:rPr>
          <w:rFonts w:eastAsia="Calibri"/>
          <w:b/>
          <w:bCs/>
          <w:sz w:val="22"/>
          <w:szCs w:val="22"/>
          <w:highlight w:val="none"/>
          <w:lang w:eastAsia="en-US"/>
        </w:rPr>
      </w:r>
      <w:r>
        <w:rPr>
          <w:rFonts w:eastAsia="Calibri"/>
          <w:b/>
          <w:bCs/>
          <w:sz w:val="22"/>
          <w:szCs w:val="22"/>
          <w:highlight w:val="none"/>
          <w:lang w:eastAsia="en-US"/>
        </w:rPr>
      </w:r>
      <w:r>
        <w:rPr>
          <w:rFonts w:eastAsia="Calibri"/>
          <w:b/>
          <w:bCs/>
          <w:sz w:val="22"/>
          <w:szCs w:val="22"/>
          <w:highlight w:val="white"/>
        </w:rPr>
      </w:r>
    </w:p>
    <w:p>
      <w:pPr>
        <w:pStyle w:val="874"/>
        <w:jc w:val="center"/>
        <w:spacing w:before="0"/>
        <w:rPr>
          <w:rFonts w:eastAsia="Calibri"/>
          <w:b/>
          <w:bCs/>
          <w:sz w:val="22"/>
          <w:szCs w:val="22"/>
          <w:highlight w:val="none"/>
          <w:lang w:eastAsia="en-US"/>
        </w:rPr>
      </w:pPr>
      <w:r>
        <w:rPr>
          <w:rFonts w:eastAsia="Calibri"/>
          <w:b/>
          <w:bCs/>
          <w:sz w:val="22"/>
          <w:szCs w:val="22"/>
          <w:highlight w:val="white"/>
          <w:lang w:eastAsia="en-US"/>
        </w:rPr>
        <w:t xml:space="preserve">Место и срок подведения итого продажи имущества</w:t>
      </w:r>
      <w:r>
        <w:rPr>
          <w:rFonts w:eastAsia="Calibri"/>
          <w:b/>
          <w:bCs/>
          <w:sz w:val="22"/>
          <w:szCs w:val="22"/>
          <w:highlight w:val="none"/>
          <w:lang w:eastAsia="en-US"/>
        </w:rPr>
      </w:r>
      <w:r>
        <w:rPr>
          <w:rFonts w:eastAsia="Calibri"/>
          <w:b/>
          <w:bCs/>
          <w:sz w:val="22"/>
          <w:szCs w:val="22"/>
          <w:highlight w:val="none"/>
          <w:lang w:eastAsia="en-US"/>
        </w:rPr>
      </w:r>
    </w:p>
    <w:p>
      <w:pPr>
        <w:pStyle w:val="874"/>
        <w:jc w:val="center"/>
        <w:spacing w:before="0"/>
        <w:rPr>
          <w:rFonts w:eastAsia="Calibri"/>
          <w:b/>
          <w:bCs/>
          <w:sz w:val="22"/>
          <w:szCs w:val="22"/>
          <w:highlight w:val="yellow"/>
        </w:rPr>
      </w:pPr>
      <w:r>
        <w:rPr>
          <w:rFonts w:eastAsia="Calibri"/>
          <w:b/>
          <w:bCs/>
          <w:sz w:val="22"/>
          <w:szCs w:val="22"/>
          <w:highlight w:val="yellow"/>
        </w:rPr>
      </w:r>
      <w:r>
        <w:rPr>
          <w:rFonts w:eastAsia="Calibri"/>
          <w:b/>
          <w:bCs/>
          <w:sz w:val="22"/>
          <w:szCs w:val="22"/>
          <w:highlight w:val="yellow"/>
        </w:rPr>
      </w:r>
      <w:r>
        <w:rPr>
          <w:rFonts w:eastAsia="Calibri"/>
          <w:b/>
          <w:bCs/>
          <w:sz w:val="22"/>
          <w:szCs w:val="22"/>
          <w:highlight w:val="yellow"/>
        </w:rPr>
      </w:r>
    </w:p>
    <w:p>
      <w:pPr>
        <w:pStyle w:val="874"/>
        <w:ind w:firstLine="0"/>
        <w:jc w:val="both"/>
        <w:spacing w:before="0"/>
        <w:rPr>
          <w:rFonts w:eastAsia="Calibri"/>
          <w:b w:val="0"/>
          <w:bCs w:val="0"/>
          <w:sz w:val="22"/>
          <w:szCs w:val="22"/>
          <w:highlight w:val="white"/>
        </w:rPr>
      </w:pPr>
      <w:r>
        <w:rPr>
          <w:rFonts w:eastAsia="Calibri"/>
          <w:b/>
          <w:bCs/>
          <w:sz w:val="22"/>
          <w:szCs w:val="22"/>
          <w:highlight w:val="white"/>
          <w:lang w:eastAsia="en-US"/>
        </w:rPr>
        <w:tab/>
        <w:t xml:space="preserve">Место подведения итогов: </w:t>
      </w:r>
      <w:r>
        <w:rPr>
          <w:rFonts w:eastAsia="Calibri"/>
          <w:b w:val="0"/>
          <w:bCs w:val="0"/>
          <w:sz w:val="22"/>
          <w:szCs w:val="22"/>
          <w:highlight w:val="white"/>
          <w:lang w:eastAsia="en-US"/>
        </w:rPr>
        <w:t xml:space="preserve">электронная торг</w:t>
      </w:r>
      <w:r>
        <w:rPr>
          <w:rFonts w:eastAsia="Calibri"/>
          <w:b w:val="0"/>
          <w:bCs w:val="0"/>
          <w:sz w:val="22"/>
          <w:szCs w:val="22"/>
          <w:highlight w:val="white"/>
          <w:lang w:eastAsia="en-US"/>
        </w:rPr>
        <w:t xml:space="preserve">овая площадка ООО «РТС-тендер» </w:t>
      </w:r>
      <w:r>
        <w:rPr>
          <w:b w:val="0"/>
          <w:bCs w:val="0"/>
          <w:sz w:val="22"/>
          <w:szCs w:val="22"/>
          <w:highlight w:val="white"/>
        </w:rPr>
      </w:r>
      <w:hyperlink r:id="rId14" w:tooltip="http://www.rts-tender.ru" w:history="1">
        <w:r>
          <w:rPr>
            <w:b w:val="0"/>
            <w:bCs w:val="0"/>
            <w:sz w:val="22"/>
            <w:szCs w:val="22"/>
            <w:highlight w:val="white"/>
            <w:lang w:val="en-US"/>
          </w:rPr>
          <w:t xml:space="preserve">(</w:t>
        </w:r>
        <w:r>
          <w:rPr>
            <w:b w:val="0"/>
            <w:bCs w:val="0"/>
            <w:sz w:val="22"/>
            <w:szCs w:val="22"/>
            <w:highlight w:val="white"/>
          </w:rPr>
          <w:t xml:space="preserve">www.rts-tender.ru</w:t>
        </w:r>
      </w:hyperlink>
      <w:r>
        <w:rPr>
          <w:b w:val="0"/>
          <w:bCs w:val="0"/>
          <w:sz w:val="22"/>
          <w:szCs w:val="22"/>
          <w:highlight w:val="white"/>
        </w:rPr>
        <w:t xml:space="preserve"> (секция «</w:t>
      </w:r>
      <w:r>
        <w:rPr>
          <w:b w:val="0"/>
          <w:bCs w:val="0"/>
          <w:sz w:val="22"/>
          <w:szCs w:val="22"/>
          <w:highlight w:val="white"/>
        </w:rPr>
        <w:t xml:space="preserve">Имущество</w:t>
      </w:r>
      <w:r>
        <w:rPr>
          <w:b w:val="0"/>
          <w:bCs w:val="0"/>
          <w:sz w:val="22"/>
          <w:szCs w:val="22"/>
          <w:highlight w:val="white"/>
        </w:rPr>
        <w:t xml:space="preserve">»)</w:t>
      </w:r>
      <w:r>
        <w:rPr>
          <w:rFonts w:eastAsia="Calibri"/>
          <w:b w:val="0"/>
          <w:bCs w:val="0"/>
          <w:sz w:val="22"/>
          <w:szCs w:val="22"/>
          <w:highlight w:val="white"/>
        </w:rPr>
        <w:t xml:space="preserve">.</w:t>
      </w:r>
      <w:r>
        <w:rPr>
          <w:rFonts w:eastAsia="Calibri"/>
          <w:b w:val="0"/>
          <w:bCs w:val="0"/>
          <w:sz w:val="22"/>
          <w:szCs w:val="22"/>
          <w:highlight w:val="white"/>
        </w:rPr>
        <w:t xml:space="preserve"> </w:t>
      </w:r>
      <w:r>
        <w:rPr>
          <w:rFonts w:eastAsia="Calibri"/>
          <w:b w:val="0"/>
          <w:bCs w:val="0"/>
          <w:sz w:val="22"/>
          <w:szCs w:val="22"/>
          <w:highlight w:val="white"/>
          <w:lang w:val="ru-RU"/>
        </w:rPr>
        <w:t xml:space="preserve">Срок подведения</w:t>
      </w:r>
      <w:r>
        <w:rPr>
          <w:rFonts w:eastAsia="Calibri"/>
          <w:b w:val="0"/>
          <w:bCs w:val="0"/>
          <w:sz w:val="22"/>
          <w:szCs w:val="22"/>
          <w:highlight w:val="white"/>
          <w:lang w:val="ru-RU"/>
        </w:rPr>
        <w:t xml:space="preserve"> и</w:t>
      </w:r>
      <w:r>
        <w:rPr>
          <w:rFonts w:eastAsia="Calibri"/>
          <w:b w:val="0"/>
          <w:bCs w:val="0"/>
          <w:sz w:val="22"/>
          <w:szCs w:val="22"/>
          <w:highlight w:val="white"/>
          <w:lang w:val="ru-RU"/>
        </w:rPr>
        <w:t xml:space="preserve">того</w:t>
      </w:r>
      <w:r>
        <w:rPr>
          <w:rFonts w:eastAsia="Calibri"/>
          <w:b w:val="0"/>
          <w:bCs w:val="0"/>
          <w:sz w:val="22"/>
          <w:szCs w:val="22"/>
          <w:highlight w:val="white"/>
          <w:lang w:val="ru-RU"/>
        </w:rPr>
        <w:t xml:space="preserve">в:</w:t>
      </w:r>
      <w:r>
        <w:rPr>
          <w:rFonts w:eastAsia="Calibri"/>
          <w:b w:val="0"/>
          <w:bCs w:val="0"/>
          <w:sz w:val="22"/>
          <w:szCs w:val="22"/>
          <w:highlight w:val="white"/>
          <w:lang w:val="ru-RU"/>
        </w:rPr>
        <w:t xml:space="preserve"> </w:t>
      </w:r>
      <w:r>
        <w:rPr>
          <w:rFonts w:eastAsia="Calibri"/>
          <w:b/>
          <w:bCs/>
          <w:sz w:val="22"/>
          <w:szCs w:val="22"/>
          <w:highlight w:val="none"/>
          <w:lang w:val="ru-RU"/>
        </w:rPr>
        <w:t xml:space="preserve">14 июля 2025 года</w:t>
      </w:r>
      <w:r>
        <w:rPr>
          <w:rFonts w:eastAsia="Calibri"/>
          <w:b/>
          <w:bCs/>
          <w:sz w:val="22"/>
          <w:szCs w:val="22"/>
          <w:highlight w:val="none"/>
          <w:lang w:val="ru-RU"/>
        </w:rPr>
        <w:t xml:space="preserve">.</w:t>
      </w:r>
      <w:r>
        <w:rPr>
          <w:rFonts w:eastAsia="Calibri"/>
          <w:b w:val="0"/>
          <w:bCs w:val="0"/>
          <w:sz w:val="22"/>
          <w:szCs w:val="22"/>
          <w:highlight w:val="white"/>
        </w:rPr>
      </w:r>
      <w:r>
        <w:rPr>
          <w:rFonts w:eastAsia="Calibri"/>
          <w:b w:val="0"/>
          <w:bCs w:val="0"/>
          <w:sz w:val="22"/>
          <w:szCs w:val="22"/>
          <w:highlight w:val="white"/>
        </w:rPr>
      </w:r>
    </w:p>
    <w:p>
      <w:pPr>
        <w:ind w:firstLine="709"/>
        <w:jc w:val="both"/>
        <w:tabs>
          <w:tab w:val="left" w:pos="284" w:leader="none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ind w:firstLine="709"/>
        <w:jc w:val="both"/>
        <w:widowControl w:val="off"/>
        <w:rPr>
          <w:sz w:val="22"/>
          <w:szCs w:val="22"/>
          <w:highlight w:val="none"/>
        </w:rPr>
      </w:pPr>
      <w:r>
        <w:rPr>
          <w:sz w:val="22"/>
          <w:szCs w:val="22"/>
        </w:rPr>
        <w:t xml:space="preserve">Для обеспечения доступа к участию в электронном аукционе Претенденту необходимо пройти процедуру регистрации в ГИС Торги </w:t>
      </w:r>
      <w:r>
        <w:rPr>
          <w:sz w:val="22"/>
          <w:szCs w:val="22"/>
        </w:rPr>
        <w:t xml:space="preserve">(официальный сайт Российской Федерации в информационно-телекоммуникационной сети «Интернет» </w:t>
      </w:r>
      <w:r>
        <w:rPr>
          <w:sz w:val="22"/>
          <w:szCs w:val="22"/>
        </w:rPr>
        <w:t xml:space="preserve">для размещения информации о проведении торгов</w:t>
      </w:r>
      <w:r>
        <w:rPr>
          <w:sz w:val="22"/>
          <w:szCs w:val="22"/>
        </w:rPr>
        <w:t xml:space="preserve"> www.torgi.gov.ru)</w:t>
      </w:r>
      <w:r>
        <w:rPr>
          <w:sz w:val="22"/>
          <w:szCs w:val="22"/>
        </w:rPr>
        <w:t xml:space="preserve">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Регистрация в ГИС Торги претендентов на участие в Процедуре осуществляется ежедневно, круглосуточно</w:t>
      </w:r>
      <w:r>
        <w:rPr>
          <w:sz w:val="22"/>
          <w:szCs w:val="22"/>
        </w:rPr>
        <w:t xml:space="preserve">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Регистрация в ГИС Торги осуществляется без взимания платы.</w:t>
      </w: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</w:p>
    <w:p>
      <w:pPr>
        <w:ind w:firstLine="709"/>
        <w:jc w:val="both"/>
        <w:widowControl w:val="off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  <w:t xml:space="preserve">Пройдя регистрацию в ГИС Торги Претендент получает доступ к участию в торгах на электронных площадках, перечень операторов которых утвержден распоряжением Правительства РФ от 12.07.2018 № 1447-р, без прохождения дополнительных проверок и направлен</w:t>
      </w:r>
      <w:r>
        <w:rPr>
          <w:sz w:val="22"/>
          <w:szCs w:val="22"/>
        </w:rPr>
        <w:t xml:space="preserve">ия документов.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9"/>
        <w:jc w:val="both"/>
        <w:widowControl w:val="off"/>
        <w:rPr>
          <w:sz w:val="22"/>
          <w:szCs w:val="22"/>
          <w:highlight w:val="none"/>
        </w:rPr>
      </w:pPr>
      <w:r>
        <w:rPr>
          <w:sz w:val="22"/>
          <w:szCs w:val="22"/>
          <w:highlight w:val="none"/>
        </w:rPr>
      </w:r>
      <w:r>
        <w:rPr>
          <w:sz w:val="22"/>
          <w:szCs w:val="22"/>
        </w:rPr>
        <w:t xml:space="preserve">После регистрации в ГИС Торги информация автоматически направляется на электронные площадки  по защищённым каналам. Операторы электронных площадок регистрируют участника торгов на электронной площадке не позднее рабочего дня, следующего за </w:t>
      </w:r>
      <w:r>
        <w:rPr>
          <w:sz w:val="22"/>
          <w:szCs w:val="22"/>
        </w:rPr>
        <w:t xml:space="preserve">днем его регистрации в ГИС Торги.</w:t>
      </w: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</w:p>
    <w:p>
      <w:pPr>
        <w:ind w:firstLine="709"/>
        <w:jc w:val="both"/>
        <w:widowControl w:val="off"/>
        <w:rPr>
          <w:sz w:val="22"/>
          <w:szCs w:val="22"/>
          <w:highlight w:val="none"/>
        </w:rPr>
      </w:pPr>
      <w:r>
        <w:rPr>
          <w:sz w:val="22"/>
          <w:szCs w:val="22"/>
        </w:rPr>
      </w:r>
      <w:r>
        <w:rPr>
          <w:sz w:val="22"/>
          <w:szCs w:val="22"/>
        </w:rPr>
        <w:t xml:space="preserve">В случае если Претендент передает полномочия на участие в торгах иному лицу по доверенности, то доверенному лицу также необходимо пройти регистрацию в ГИС Торги. При этом такому представителю необходимо представить скан-образ доверенности</w:t>
      </w:r>
      <w:r>
        <w:rPr>
          <w:sz w:val="22"/>
          <w:szCs w:val="22"/>
        </w:rPr>
        <w:t xml:space="preserve"> в составе заявки на электронной площадке.</w:t>
      </w:r>
      <w:r>
        <w:rPr>
          <w:sz w:val="22"/>
          <w:szCs w:val="22"/>
        </w:rPr>
        <w:t xml:space="preserve">  </w:t>
      </w: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</w:p>
    <w:p>
      <w:pPr>
        <w:ind w:firstLine="709"/>
        <w:jc w:val="both"/>
        <w:rPr>
          <w:sz w:val="22"/>
          <w:szCs w:val="22"/>
          <w:highlight w:val="none"/>
        </w:rPr>
      </w:pPr>
      <w:r>
        <w:rPr>
          <w:sz w:val="22"/>
          <w:szCs w:val="22"/>
        </w:rPr>
        <w:t xml:space="preserve">Регистрации в ГИС Торги подлежат Претенден</w:t>
      </w:r>
      <w:r>
        <w:rPr>
          <w:sz w:val="22"/>
          <w:szCs w:val="22"/>
        </w:rPr>
        <w:t xml:space="preserve">ты, ранее не зарегистрированные</w:t>
      </w:r>
      <w:r>
        <w:rPr>
          <w:sz w:val="22"/>
          <w:szCs w:val="22"/>
        </w:rPr>
        <w:br/>
        <w:t xml:space="preserve">в ГИС Торги</w:t>
      </w:r>
      <w:r>
        <w:rPr>
          <w:sz w:val="22"/>
          <w:szCs w:val="22"/>
        </w:rPr>
        <w:t xml:space="preserve"> или регистрация которых в ГИС Торги была ими прекращена.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</w:p>
    <w:p>
      <w:pPr>
        <w:ind w:firstLine="709"/>
        <w:jc w:val="both"/>
        <w:rPr>
          <w:sz w:val="22"/>
          <w:szCs w:val="22"/>
          <w:highlight w:val="none"/>
        </w:rPr>
      </w:pPr>
      <w:r>
        <w:rPr>
          <w:sz w:val="22"/>
          <w:szCs w:val="22"/>
          <w:highlight w:val="none"/>
        </w:rPr>
        <w:t xml:space="preserve">Подробно с информацией о регистрации в ГИС Торги можно ознакомиться на сайте</w:t>
      </w:r>
      <w:r>
        <w:rPr>
          <w:sz w:val="22"/>
          <w:szCs w:val="22"/>
          <w:highlight w:val="none"/>
        </w:rPr>
        <w:t xml:space="preserve"> в руководстве пользователя, размещенной в открытой части ГИС Торги в разделе «Служба поддержки»_ «Информационные материалы».</w:t>
      </w: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</w:p>
    <w:p>
      <w:pPr>
        <w:pStyle w:val="874"/>
        <w:spacing w:before="0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74"/>
        <w:jc w:val="center"/>
        <w:spacing w:before="0"/>
        <w:rPr>
          <w:b/>
          <w:bCs/>
          <w:sz w:val="22"/>
          <w:szCs w:val="22"/>
          <w:highlight w:val="none"/>
        </w:rPr>
      </w:pPr>
      <w:r>
        <w:rPr>
          <w:b/>
          <w:sz w:val="22"/>
          <w:szCs w:val="22"/>
          <w:highlight w:val="white"/>
        </w:rPr>
        <w:t xml:space="preserve">Порядок и место подачи заявок: </w:t>
      </w:r>
      <w:r>
        <w:rPr>
          <w:b/>
          <w:bCs/>
          <w:sz w:val="22"/>
          <w:szCs w:val="22"/>
          <w:highlight w:val="none"/>
        </w:rPr>
      </w:r>
      <w:r>
        <w:rPr>
          <w:b/>
          <w:bCs/>
          <w:sz w:val="22"/>
          <w:szCs w:val="22"/>
          <w:highlight w:val="none"/>
        </w:rPr>
      </w:r>
    </w:p>
    <w:p>
      <w:pPr>
        <w:pStyle w:val="874"/>
        <w:jc w:val="center"/>
        <w:spacing w:before="0"/>
        <w:rPr>
          <w:b/>
          <w:bCs/>
          <w:sz w:val="22"/>
          <w:szCs w:val="22"/>
          <w:highlight w:val="white"/>
        </w:rPr>
      </w:pPr>
      <w:r>
        <w:rPr>
          <w:b/>
          <w:sz w:val="22"/>
          <w:szCs w:val="22"/>
          <w:highlight w:val="none"/>
        </w:rPr>
      </w:r>
      <w:r>
        <w:rPr>
          <w:b/>
          <w:bCs/>
          <w:sz w:val="22"/>
          <w:szCs w:val="22"/>
          <w:highlight w:val="white"/>
        </w:rPr>
      </w:r>
      <w:r>
        <w:rPr>
          <w:b/>
          <w:bCs/>
          <w:sz w:val="22"/>
          <w:szCs w:val="22"/>
          <w:highlight w:val="white"/>
        </w:rPr>
      </w:r>
    </w:p>
    <w:p>
      <w:pPr>
        <w:pStyle w:val="874"/>
        <w:spacing w:before="0"/>
        <w:rPr>
          <w:sz w:val="22"/>
          <w:szCs w:val="22"/>
          <w:highlight w:val="white"/>
          <w14:ligatures w14:val="none"/>
        </w:rPr>
      </w:pPr>
      <w:r>
        <w:rPr>
          <w:sz w:val="22"/>
          <w:szCs w:val="22"/>
          <w:highlight w:val="white"/>
        </w:rPr>
        <w:t xml:space="preserve">Подача заявок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</w:t>
      </w:r>
      <w:r>
        <w:rPr>
          <w:sz w:val="22"/>
          <w:szCs w:val="22"/>
          <w:highlight w:val="white"/>
        </w:rPr>
        <w:t xml:space="preserve">х в электронно-цифровую форму путем сканирования с сохранением их реквизитов), заверенных усиленной квалифицированной электронной подписью Претендента либо лица, имеющего право действовать от имени Претендента. На</w:t>
      </w:r>
      <w:r>
        <w:rPr>
          <w:sz w:val="22"/>
          <w:szCs w:val="22"/>
          <w:highlight w:val="white"/>
        </w:rPr>
        <w:t xml:space="preserve">личие электронной подписи означает, что документы и сведения, поданные в форме электронных документов, направлены от имени Претендента и отправитель несет ответственность за подлинность и досто</w:t>
      </w:r>
      <w:r>
        <w:rPr>
          <w:sz w:val="22"/>
          <w:szCs w:val="22"/>
          <w:highlight w:val="white"/>
        </w:rPr>
        <w:t xml:space="preserve">верность таких документов и сведений.</w:t>
      </w:r>
      <w:r>
        <w:rPr>
          <w:sz w:val="22"/>
          <w:szCs w:val="22"/>
          <w:highlight w:val="white"/>
          <w14:ligatures w14:val="none"/>
        </w:rPr>
      </w:r>
      <w:r>
        <w:rPr>
          <w:sz w:val="22"/>
          <w:szCs w:val="22"/>
          <w:highlight w:val="white"/>
          <w14:ligatures w14:val="none"/>
        </w:rPr>
      </w:r>
    </w:p>
    <w:p>
      <w:pPr>
        <w:pStyle w:val="874"/>
        <w:spacing w:before="0"/>
        <w:rPr>
          <w:sz w:val="22"/>
          <w:szCs w:val="22"/>
          <w:highlight w:val="white"/>
          <w14:ligatures w14:val="none"/>
        </w:rPr>
      </w:pPr>
      <w:r>
        <w:rPr>
          <w:sz w:val="22"/>
          <w:szCs w:val="22"/>
          <w:highlight w:val="white"/>
        </w:rPr>
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 на сайте </w:t>
      </w:r>
      <w:hyperlink r:id="rId15" w:tooltip="https://www.lot-online.ru/" w:history="1">
        <w:r>
          <w:rPr>
            <w:sz w:val="22"/>
            <w:szCs w:val="22"/>
            <w:highlight w:val="white"/>
          </w:rPr>
          <w:t xml:space="preserve">https:</w:t>
        </w:r>
        <w:r>
          <w:rPr>
            <w:sz w:val="22"/>
            <w:szCs w:val="22"/>
            <w:highlight w:val="white"/>
          </w:rPr>
          <w:t xml:space="preserve">//</w:t>
        </w:r>
        <w:r>
          <w:rPr>
            <w:sz w:val="22"/>
            <w:szCs w:val="22"/>
            <w:highlight w:val="white"/>
          </w:rPr>
          <w:t xml:space="preserve">www.rts-tender.ru</w:t>
        </w:r>
        <w:r>
          <w:rPr>
            <w:sz w:val="22"/>
            <w:szCs w:val="22"/>
            <w:highlight w:val="white"/>
          </w:rPr>
          <w:t xml:space="preserve">/</w:t>
        </w:r>
      </w:hyperlink>
      <w:r>
        <w:rPr>
          <w:sz w:val="22"/>
          <w:szCs w:val="22"/>
          <w:highlight w:val="white"/>
        </w:rPr>
        <w:t xml:space="preserve">, с приложением электронных образов следующих документов</w:t>
      </w:r>
      <w:r>
        <w:rPr>
          <w:sz w:val="22"/>
          <w:szCs w:val="22"/>
          <w:highlight w:val="white"/>
        </w:rPr>
        <w:t xml:space="preserve">:</w:t>
      </w:r>
      <w:r>
        <w:rPr>
          <w:sz w:val="22"/>
          <w:szCs w:val="22"/>
          <w:highlight w:val="white"/>
          <w14:ligatures w14:val="none"/>
        </w:rPr>
      </w:r>
      <w:r>
        <w:rPr>
          <w:sz w:val="22"/>
          <w:szCs w:val="22"/>
          <w:highlight w:val="white"/>
          <w14:ligatures w14:val="none"/>
        </w:rPr>
      </w:r>
    </w:p>
    <w:p>
      <w:pPr>
        <w:pStyle w:val="874"/>
        <w:spacing w:before="0"/>
        <w:rPr>
          <w:b/>
          <w:bCs/>
          <w:i/>
          <w:iCs/>
          <w:sz w:val="22"/>
          <w:szCs w:val="22"/>
          <w:highlight w:val="white"/>
        </w:rPr>
      </w:pPr>
      <w:r>
        <w:rPr>
          <w:b/>
          <w:bCs/>
          <w:i/>
          <w:iCs/>
          <w:sz w:val="22"/>
          <w:szCs w:val="22"/>
          <w:highlight w:val="white"/>
        </w:rPr>
        <w:t xml:space="preserve">Юридические лица предоставляют:</w:t>
      </w:r>
      <w:r>
        <w:rPr>
          <w:b/>
          <w:bCs/>
          <w:i/>
          <w:iCs/>
          <w:sz w:val="22"/>
          <w:szCs w:val="22"/>
          <w:highlight w:val="white"/>
        </w:rPr>
      </w:r>
      <w:r>
        <w:rPr>
          <w:b/>
          <w:bCs/>
          <w:i/>
          <w:iCs/>
          <w:sz w:val="22"/>
          <w:szCs w:val="22"/>
          <w:highlight w:val="white"/>
        </w:rPr>
      </w:r>
    </w:p>
    <w:p>
      <w:pPr>
        <w:pStyle w:val="874"/>
        <w:spacing w:before="0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- Заверенные копии учредительных документов Заявителя;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pStyle w:val="874"/>
        <w:spacing w:before="0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- Документ, содержащий сведения о доле Российской Фе</w:t>
      </w:r>
      <w:r>
        <w:rPr>
          <w:sz w:val="22"/>
          <w:szCs w:val="22"/>
          <w:highlight w:val="white"/>
        </w:rPr>
        <w:t xml:space="preserve">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pStyle w:val="874"/>
        <w:spacing w:before="0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- Документ, который подтверждает полномочия руководителя юрид</w:t>
      </w:r>
      <w:r>
        <w:rPr>
          <w:sz w:val="22"/>
          <w:szCs w:val="22"/>
          <w:highlight w:val="white"/>
        </w:rPr>
        <w:t xml:space="preserve">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pStyle w:val="874"/>
        <w:spacing w:before="0"/>
        <w:rPr>
          <w:sz w:val="22"/>
          <w:szCs w:val="22"/>
          <w:highlight w:val="white"/>
        </w:rPr>
      </w:pPr>
      <w:r>
        <w:rPr>
          <w:b/>
          <w:bCs/>
          <w:i/>
          <w:iCs/>
          <w:sz w:val="22"/>
          <w:szCs w:val="22"/>
          <w:highlight w:val="white"/>
        </w:rPr>
        <w:t xml:space="preserve">Физические лица предъявляют </w:t>
      </w:r>
      <w:r>
        <w:rPr>
          <w:b/>
          <w:bCs/>
          <w:i/>
          <w:iCs/>
          <w:sz w:val="22"/>
          <w:szCs w:val="22"/>
          <w:highlight w:val="white"/>
        </w:rPr>
        <w:t xml:space="preserve">копию всех листов документа, удостоверяющего личность</w:t>
      </w:r>
      <w:r>
        <w:rPr>
          <w:b/>
          <w:bCs/>
          <w:i/>
          <w:iCs/>
          <w:sz w:val="22"/>
          <w:szCs w:val="22"/>
          <w:highlight w:val="white"/>
        </w:rPr>
        <w:t xml:space="preserve">.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pStyle w:val="874"/>
        <w:spacing w:before="0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К данным документам также прилагается их опись. 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pStyle w:val="874"/>
        <w:spacing w:before="0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</w:t>
      </w:r>
      <w:r>
        <w:rPr>
          <w:sz w:val="22"/>
          <w:szCs w:val="22"/>
          <w:highlight w:val="white"/>
        </w:rPr>
        <w:t xml:space="preserve">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pStyle w:val="874"/>
        <w:spacing w:before="0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Одно лицо имеет право подать только одну заявку.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pStyle w:val="874"/>
        <w:spacing w:before="0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pStyle w:val="874"/>
        <w:spacing w:before="0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Заявки с прилагаемыми к ним документами, а также предложения о цене имущества, поданные с нарушением установленного срока, на электронной площадке не регистрируются.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pStyle w:val="874"/>
        <w:spacing w:before="0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pStyle w:val="874"/>
        <w:spacing w:before="0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pStyle w:val="874"/>
        <w:spacing w:before="0"/>
        <w:rPr>
          <w:sz w:val="22"/>
          <w:szCs w:val="22"/>
          <w:highlight w:val="white"/>
          <w14:ligatures w14:val="none"/>
        </w:rPr>
      </w:pPr>
      <w:r>
        <w:rPr>
          <w:sz w:val="22"/>
          <w:szCs w:val="22"/>
          <w:highlight w:val="white"/>
          <w:u w:val="single"/>
        </w:rPr>
        <w:t xml:space="preserve">Срок и порядок внесения задатка, необходимые реквизиты счетов:</w:t>
      </w:r>
      <w:r>
        <w:rPr>
          <w:sz w:val="22"/>
          <w:szCs w:val="22"/>
          <w:highlight w:val="white"/>
          <w14:ligatures w14:val="none"/>
        </w:rPr>
      </w:r>
      <w:r>
        <w:rPr>
          <w:sz w:val="22"/>
          <w:szCs w:val="22"/>
          <w:highlight w:val="white"/>
          <w14:ligatures w14:val="none"/>
        </w:rPr>
      </w:r>
    </w:p>
    <w:p>
      <w:pPr>
        <w:pStyle w:val="874"/>
        <w:spacing w:before="0"/>
        <w:rPr>
          <w:sz w:val="22"/>
          <w:szCs w:val="22"/>
          <w:highlight w:val="white"/>
          <w14:ligatures w14:val="none"/>
        </w:rPr>
      </w:pPr>
      <w:r>
        <w:rPr>
          <w:sz w:val="22"/>
          <w:szCs w:val="22"/>
          <w:highlight w:val="white"/>
        </w:rPr>
        <w:t xml:space="preserve"> </w:t>
      </w:r>
      <w:r>
        <w:rPr>
          <w:sz w:val="22"/>
          <w:szCs w:val="22"/>
          <w:highlight w:val="white"/>
        </w:rPr>
        <w:t xml:space="preserve"> </w:t>
      </w:r>
      <w:r>
        <w:rPr>
          <w:sz w:val="22"/>
          <w:szCs w:val="22"/>
          <w:highlight w:val="white"/>
          <w14:ligatures w14:val="none"/>
        </w:rPr>
      </w:r>
      <w:r>
        <w:rPr>
          <w:sz w:val="22"/>
          <w:szCs w:val="22"/>
          <w:highlight w:val="white"/>
          <w14:ligatures w14:val="none"/>
        </w:rPr>
      </w:r>
    </w:p>
    <w:p>
      <w:pPr>
        <w:pStyle w:val="874"/>
        <w:spacing w:before="0"/>
        <w:rPr>
          <w:sz w:val="22"/>
          <w:szCs w:val="22"/>
          <w:highlight w:val="white"/>
          <w14:ligatures w14:val="none"/>
        </w:rPr>
      </w:pPr>
      <w:r>
        <w:rPr>
          <w:sz w:val="22"/>
          <w:szCs w:val="22"/>
          <w:highlight w:val="white"/>
        </w:rPr>
        <w:t xml:space="preserve">Задаток для участия в аукци</w:t>
      </w:r>
      <w:r>
        <w:rPr>
          <w:sz w:val="22"/>
          <w:szCs w:val="22"/>
          <w:highlight w:val="white"/>
        </w:rPr>
        <w:t xml:space="preserve">оне служит обеспечением исполнения обязательства победителя аукциона по заключению договора купли-продажи и оплате приобретенного на торгах имущества.</w:t>
      </w:r>
      <w:r>
        <w:rPr>
          <w:sz w:val="22"/>
          <w:szCs w:val="22"/>
          <w:highlight w:val="white"/>
          <w14:ligatures w14:val="none"/>
        </w:rPr>
      </w:r>
      <w:r>
        <w:rPr>
          <w:sz w:val="22"/>
          <w:szCs w:val="22"/>
          <w:highlight w:val="white"/>
          <w14:ligatures w14:val="none"/>
        </w:rPr>
      </w:r>
    </w:p>
    <w:p>
      <w:pPr>
        <w:pStyle w:val="874"/>
        <w:spacing w:before="0"/>
        <w:rPr>
          <w:sz w:val="22"/>
          <w:szCs w:val="22"/>
          <w:highlight w:val="white"/>
          <w14:ligatures w14:val="none"/>
        </w:rPr>
      </w:pPr>
      <w:r>
        <w:rPr>
          <w:sz w:val="22"/>
          <w:szCs w:val="22"/>
          <w:highlight w:val="white"/>
        </w:rPr>
        <w:t xml:space="preserve">Задаток должен по</w:t>
      </w:r>
      <w:r>
        <w:rPr>
          <w:sz w:val="22"/>
          <w:szCs w:val="22"/>
          <w:highlight w:val="white"/>
        </w:rPr>
        <w:t xml:space="preserve">ступить</w:t>
      </w:r>
      <w:r>
        <w:rPr>
          <w:sz w:val="22"/>
          <w:szCs w:val="22"/>
          <w:highlight w:val="white"/>
        </w:rPr>
        <w:t xml:space="preserve"> не позд</w:t>
      </w:r>
      <w:r>
        <w:rPr>
          <w:sz w:val="22"/>
          <w:szCs w:val="22"/>
          <w:highlight w:val="white"/>
        </w:rPr>
        <w:t xml:space="preserve">не</w:t>
      </w:r>
      <w:r>
        <w:rPr>
          <w:sz w:val="22"/>
          <w:szCs w:val="22"/>
          <w:highlight w:val="white"/>
        </w:rPr>
        <w:t xml:space="preserve">е</w:t>
      </w:r>
      <w:r>
        <w:rPr>
          <w:sz w:val="22"/>
          <w:szCs w:val="22"/>
          <w:highlight w:val="white"/>
        </w:rPr>
        <w:t xml:space="preserve"> </w:t>
      </w:r>
      <w:r>
        <w:rPr>
          <w:b/>
          <w:bCs/>
          <w:sz w:val="22"/>
          <w:szCs w:val="22"/>
          <w:highlight w:val="white"/>
        </w:rPr>
        <w:t xml:space="preserve">06.07.2025</w:t>
      </w:r>
      <w:r>
        <w:rPr>
          <w:b/>
          <w:bCs/>
          <w:sz w:val="22"/>
          <w:szCs w:val="22"/>
          <w:highlight w:val="white"/>
        </w:rPr>
        <w:t xml:space="preserve"> </w:t>
      </w:r>
      <w:r>
        <w:rPr>
          <w:sz w:val="22"/>
          <w:szCs w:val="22"/>
          <w:highlight w:val="white"/>
        </w:rPr>
        <w:t xml:space="preserve"> </w:t>
      </w:r>
      <w:r>
        <w:rPr>
          <w:sz w:val="22"/>
          <w:szCs w:val="22"/>
          <w:highlight w:val="white"/>
        </w:rPr>
        <w:t xml:space="preserve">п</w:t>
      </w:r>
      <w:r>
        <w:rPr>
          <w:sz w:val="22"/>
          <w:szCs w:val="22"/>
          <w:highlight w:val="white"/>
        </w:rPr>
        <w:t xml:space="preserve">о </w:t>
      </w:r>
      <w:r>
        <w:rPr>
          <w:sz w:val="22"/>
          <w:szCs w:val="22"/>
          <w:highlight w:val="white"/>
        </w:rPr>
        <w:t xml:space="preserve">следу</w:t>
      </w:r>
      <w:r>
        <w:rPr>
          <w:sz w:val="22"/>
          <w:szCs w:val="22"/>
          <w:highlight w:val="white"/>
        </w:rPr>
        <w:t xml:space="preserve">ющим реквизитам:</w:t>
      </w:r>
      <w:r>
        <w:rPr>
          <w:sz w:val="22"/>
          <w:szCs w:val="22"/>
          <w:highlight w:val="white"/>
          <w14:ligatures w14:val="none"/>
        </w:rPr>
      </w:r>
      <w:r>
        <w:rPr>
          <w:sz w:val="22"/>
          <w:szCs w:val="22"/>
          <w:highlight w:val="white"/>
          <w14:ligatures w14:val="none"/>
        </w:rPr>
      </w:r>
    </w:p>
    <w:p>
      <w:pPr>
        <w:pStyle w:val="874"/>
        <w:spacing w:before="0"/>
        <w:rPr>
          <w:sz w:val="28"/>
          <w:szCs w:val="28"/>
          <w:highlight w:val="white"/>
          <w14:ligatures w14:val="none"/>
        </w:rPr>
      </w:pPr>
      <w:r>
        <w:rPr>
          <w:sz w:val="22"/>
          <w:szCs w:val="22"/>
          <w:highlight w:val="white"/>
        </w:rPr>
        <w:t xml:space="preserve">Получатель: </w:t>
      </w:r>
      <w:r>
        <w:rPr>
          <w:sz w:val="22"/>
          <w:szCs w:val="22"/>
          <w:highlight w:val="white"/>
        </w:rPr>
        <w:t xml:space="preserve">МФиНП</w:t>
      </w:r>
      <w:r>
        <w:rPr>
          <w:sz w:val="22"/>
          <w:szCs w:val="22"/>
          <w:highlight w:val="white"/>
        </w:rPr>
        <w:t xml:space="preserve"> НСО (</w:t>
      </w:r>
      <w:r>
        <w:rPr>
          <w:sz w:val="22"/>
          <w:szCs w:val="22"/>
          <w:highlight w:val="white"/>
        </w:rPr>
        <w:t xml:space="preserve">ДИиЗО</w:t>
      </w:r>
      <w:r>
        <w:rPr>
          <w:sz w:val="22"/>
          <w:szCs w:val="22"/>
          <w:highlight w:val="white"/>
        </w:rPr>
        <w:t xml:space="preserve"> НСО, л/с190010013</w:t>
      </w:r>
      <w:r>
        <w:rPr>
          <w:sz w:val="22"/>
          <w:szCs w:val="22"/>
          <w:highlight w:val="white"/>
        </w:rPr>
        <w:t xml:space="preserve">)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pStyle w:val="874"/>
        <w:spacing w:before="0"/>
        <w:rPr>
          <w:sz w:val="28"/>
          <w:szCs w:val="28"/>
          <w:highlight w:val="white"/>
          <w14:ligatures w14:val="none"/>
        </w:rPr>
      </w:pPr>
      <w:r>
        <w:rPr>
          <w:sz w:val="22"/>
          <w:szCs w:val="22"/>
          <w:highlight w:val="white"/>
        </w:rPr>
        <w:t xml:space="preserve">ИНН 5406214965 / КПП 540601001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pStyle w:val="874"/>
        <w:spacing w:before="0"/>
        <w:rPr>
          <w:sz w:val="28"/>
          <w:szCs w:val="28"/>
          <w:highlight w:val="white"/>
          <w14:ligatures w14:val="none"/>
        </w:rPr>
      </w:pPr>
      <w:r>
        <w:rPr>
          <w:sz w:val="22"/>
          <w:szCs w:val="22"/>
          <w:highlight w:val="white"/>
        </w:rPr>
        <w:t xml:space="preserve">Сибирское ГУ Банка России</w:t>
      </w:r>
      <w:r>
        <w:rPr>
          <w:sz w:val="22"/>
          <w:szCs w:val="22"/>
          <w:highlight w:val="white"/>
        </w:rPr>
        <w:t xml:space="preserve">//УФК по Новосибирской области</w:t>
      </w:r>
      <w:r>
        <w:rPr>
          <w:sz w:val="22"/>
          <w:szCs w:val="22"/>
          <w:highlight w:val="white"/>
        </w:rPr>
        <w:t xml:space="preserve"> </w:t>
      </w:r>
      <w:r>
        <w:rPr>
          <w:sz w:val="22"/>
          <w:szCs w:val="22"/>
          <w:highlight w:val="white"/>
        </w:rPr>
        <w:t xml:space="preserve">г.Новосибирск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pStyle w:val="874"/>
        <w:spacing w:before="0"/>
        <w:rPr>
          <w:sz w:val="28"/>
          <w:szCs w:val="28"/>
          <w:highlight w:val="white"/>
          <w14:ligatures w14:val="none"/>
        </w:rPr>
      </w:pPr>
      <w:r>
        <w:rPr>
          <w:sz w:val="22"/>
          <w:szCs w:val="22"/>
          <w:highlight w:val="white"/>
        </w:rPr>
        <w:t xml:space="preserve">БИК </w:t>
      </w:r>
      <w:r>
        <w:rPr>
          <w:sz w:val="22"/>
          <w:szCs w:val="22"/>
          <w:highlight w:val="white"/>
        </w:rPr>
        <w:t xml:space="preserve">015004950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pStyle w:val="874"/>
        <w:spacing w:before="0"/>
        <w:rPr>
          <w:sz w:val="28"/>
          <w:szCs w:val="28"/>
          <w:highlight w:val="white"/>
          <w14:ligatures w14:val="none"/>
        </w:rPr>
      </w:pPr>
      <w:r>
        <w:rPr>
          <w:sz w:val="22"/>
          <w:szCs w:val="22"/>
          <w:highlight w:val="white"/>
        </w:rPr>
        <w:t xml:space="preserve">р/с 40102810445370000043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pStyle w:val="874"/>
        <w:spacing w:before="0"/>
        <w:rPr>
          <w:sz w:val="28"/>
          <w:szCs w:val="28"/>
          <w:highlight w:val="white"/>
          <w14:ligatures w14:val="none"/>
        </w:rPr>
      </w:pPr>
      <w:r>
        <w:rPr>
          <w:sz w:val="22"/>
          <w:szCs w:val="22"/>
          <w:highlight w:val="white"/>
        </w:rPr>
        <w:t xml:space="preserve">л/с </w:t>
      </w:r>
      <w:r>
        <w:rPr>
          <w:sz w:val="22"/>
          <w:szCs w:val="22"/>
          <w:highlight w:val="white"/>
        </w:rPr>
        <w:t xml:space="preserve">03222643500000005100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pStyle w:val="874"/>
        <w:spacing w:before="0"/>
        <w:rPr>
          <w:sz w:val="28"/>
          <w:szCs w:val="28"/>
          <w:highlight w:val="white"/>
          <w14:ligatures w14:val="none"/>
        </w:rPr>
      </w:pPr>
      <w:r>
        <w:rPr>
          <w:sz w:val="22"/>
          <w:szCs w:val="22"/>
          <w:highlight w:val="white"/>
        </w:rPr>
        <w:t xml:space="preserve">ОКТМО 50701000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pStyle w:val="874"/>
        <w:spacing w:before="0"/>
        <w:rPr>
          <w:sz w:val="28"/>
          <w:szCs w:val="28"/>
          <w:highlight w:val="white"/>
          <w14:ligatures w14:val="none"/>
        </w:rPr>
      </w:pPr>
      <w:r>
        <w:rPr>
          <w:sz w:val="22"/>
          <w:szCs w:val="22"/>
          <w:highlight w:val="white"/>
        </w:rPr>
        <w:t xml:space="preserve">КБК 00000000000000000510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pStyle w:val="874"/>
        <w:spacing w:before="0"/>
        <w:rPr>
          <w:sz w:val="28"/>
          <w:szCs w:val="28"/>
          <w:highlight w:val="white"/>
          <w14:ligatures w14:val="none"/>
        </w:rPr>
      </w:pPr>
      <w:r>
        <w:rPr>
          <w:sz w:val="22"/>
          <w:szCs w:val="22"/>
          <w:highlight w:val="white"/>
        </w:rPr>
        <w:t xml:space="preserve">Назначение платежа: Перечисление задатка для участия</w:t>
      </w:r>
      <w:r>
        <w:rPr>
          <w:sz w:val="22"/>
          <w:szCs w:val="22"/>
          <w:highlight w:val="none"/>
        </w:rPr>
        <w:t xml:space="preserve"> в аукционе по продаже государственного имущества Новосибирской области расположенного____________________. Без НДС.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pStyle w:val="874"/>
        <w:spacing w:before="0"/>
        <w:rPr>
          <w:sz w:val="22"/>
          <w:szCs w:val="22"/>
          <w:highlight w:val="white"/>
          <w14:ligatures w14:val="none"/>
        </w:rPr>
      </w:pPr>
      <w:r>
        <w:rPr>
          <w:sz w:val="22"/>
          <w:szCs w:val="22"/>
          <w:highlight w:val="white"/>
        </w:rPr>
        <w:t xml:space="preserve">Документом, подтверждающим поступление задатка на счет, является выписка с этого счет</w:t>
      </w:r>
      <w:r>
        <w:rPr>
          <w:sz w:val="22"/>
          <w:szCs w:val="22"/>
          <w:highlight w:val="white"/>
        </w:rPr>
        <w:t xml:space="preserve">а</w:t>
      </w:r>
      <w:r>
        <w:rPr>
          <w:sz w:val="22"/>
          <w:szCs w:val="22"/>
          <w:highlight w:val="none"/>
          <w14:ligatures w14:val="none"/>
        </w:rPr>
        <w:t xml:space="preserve">.</w:t>
      </w:r>
      <w:r>
        <w:rPr>
          <w:sz w:val="22"/>
          <w:szCs w:val="22"/>
          <w:highlight w:val="white"/>
          <w14:ligatures w14:val="none"/>
        </w:rPr>
      </w:r>
      <w:r>
        <w:rPr>
          <w:sz w:val="22"/>
          <w:szCs w:val="22"/>
          <w:highlight w:val="white"/>
          <w14:ligatures w14:val="none"/>
        </w:rPr>
      </w:r>
    </w:p>
    <w:p>
      <w:pPr>
        <w:pStyle w:val="874"/>
        <w:spacing w:before="0"/>
        <w:rPr>
          <w:sz w:val="22"/>
          <w:szCs w:val="22"/>
          <w:highlight w:val="white"/>
          <w14:ligatures w14:val="none"/>
        </w:rPr>
      </w:pPr>
      <w:r>
        <w:rPr>
          <w:sz w:val="22"/>
          <w:szCs w:val="22"/>
          <w:highlight w:val="white"/>
          <w14:ligatures w14:val="none"/>
        </w:rPr>
      </w:r>
      <w:r>
        <w:rPr>
          <w:sz w:val="22"/>
          <w:szCs w:val="22"/>
          <w:highlight w:val="white"/>
          <w14:ligatures w14:val="none"/>
        </w:rPr>
      </w:r>
      <w:r>
        <w:rPr>
          <w:sz w:val="22"/>
          <w:szCs w:val="22"/>
          <w:highlight w:val="white"/>
          <w14:ligatures w14:val="none"/>
        </w:rPr>
      </w:r>
    </w:p>
    <w:p>
      <w:pPr>
        <w:pStyle w:val="874"/>
        <w:spacing w:before="0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Данное информационное сообщение является публичной офертой для з</w:t>
      </w:r>
      <w:r>
        <w:rPr>
          <w:sz w:val="22"/>
          <w:szCs w:val="22"/>
          <w:highlight w:val="white"/>
        </w:rPr>
        <w:t xml:space="preserve">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pStyle w:val="874"/>
        <w:spacing w:before="0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 Плат</w:t>
      </w:r>
      <w:r>
        <w:rPr>
          <w:sz w:val="22"/>
          <w:szCs w:val="22"/>
          <w:highlight w:val="white"/>
        </w:rPr>
        <w:t xml:space="preserve">ельщиком задатка может быть только Претендент. Не допускается перечисление задатка иными лицами. Перечисленные денежные средства иными лицами, кроме Претендента, будут считаться ошибочно перечисленными денежными средствами и возвращены на счет плательщика.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pStyle w:val="874"/>
        <w:spacing w:before="0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В случаях отзыва претендентом заявки: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pStyle w:val="874"/>
        <w:spacing w:before="0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– в установленном порядке до даты и времени окончания подачи (приема) заявок, поступивший от Претендента задаток подлежит возврату в срок, не позднее, чем 5 (пять) дней со дня поступления уведомления об отзыве заявки;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pStyle w:val="874"/>
        <w:spacing w:before="0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– позднее даты и времени окончания подачи (приема) заявок задаток возвращается в течение 5 (пяти) календарных дней с даты подведения итогов Процедуры.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pStyle w:val="874"/>
        <w:spacing w:before="0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Участникам, за исключением победителя Процедуры, внесенный задаток возвращается в течение 5 (пяти) дней с даты подведения итогов Процедуры.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pStyle w:val="874"/>
        <w:spacing w:before="0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 Претендентам, не допущенным к участию в Процедуре, внесенный задаток возвращается в течение 5 (пяти) дней со дня подписания протокола о признании претендентов участниками.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pStyle w:val="874"/>
        <w:spacing w:before="0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Заключение договора купли-продажи для победителя Процедуры является обязательным.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pStyle w:val="874"/>
        <w:spacing w:before="0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При уклонении или отказе победителя Процедуры от заключения в установленный срок договора купли-продажи Объекта, он утрачивает право на заключение указанного договора и задаток ему не возвращается. Результаты Процедуры аннулируются.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pStyle w:val="874"/>
        <w:spacing w:before="0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В случае отказа Продавца от проведения Процедуры, поступившие задатки возвращаются претендентам/участникам в течение 5 (пяти) рабочих дней с даты принятия решения об отказе в проведении Процедуры.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pStyle w:val="874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Не позднее следующего ра</w:t>
      </w:r>
      <w:r>
        <w:rPr>
          <w:sz w:val="22"/>
          <w:szCs w:val="22"/>
        </w:rPr>
        <w:t xml:space="preserve">бочего дня после дня подписания протокола о признании Претендентов участниками всем Претендентам, подавшим заявки, будет направлено уведомление о признании их участниками аукциона или об отказе в признании участниками аукциона с указанием оснований отказа.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74"/>
        <w:jc w:val="center"/>
        <w:spacing w:before="0"/>
        <w:rPr>
          <w:rFonts w:eastAsia="Calibri"/>
          <w:b/>
          <w:bCs/>
          <w:sz w:val="22"/>
          <w:szCs w:val="22"/>
          <w:highlight w:val="none"/>
          <w:lang w:eastAsia="en-US"/>
        </w:rPr>
      </w:pPr>
      <w:r>
        <w:rPr>
          <w:rFonts w:eastAsia="Calibri"/>
          <w:b/>
          <w:bCs/>
          <w:sz w:val="22"/>
          <w:szCs w:val="22"/>
          <w:highlight w:val="none"/>
          <w:lang w:eastAsia="en-US"/>
        </w:rPr>
      </w:r>
      <w:r>
        <w:rPr>
          <w:rFonts w:eastAsia="Calibri"/>
          <w:b/>
          <w:bCs/>
          <w:sz w:val="22"/>
          <w:szCs w:val="22"/>
          <w:highlight w:val="none"/>
          <w:lang w:eastAsia="en-US"/>
        </w:rPr>
      </w:r>
      <w:r>
        <w:rPr>
          <w:rFonts w:eastAsia="Calibri"/>
          <w:b/>
          <w:bCs/>
          <w:sz w:val="22"/>
          <w:szCs w:val="22"/>
          <w:highlight w:val="none"/>
          <w:lang w:eastAsia="en-US"/>
        </w:rPr>
      </w:r>
    </w:p>
    <w:p>
      <w:pPr>
        <w:pStyle w:val="874"/>
        <w:jc w:val="center"/>
        <w:spacing w:before="0"/>
        <w:rPr>
          <w:rFonts w:eastAsia="Calibri"/>
          <w:b/>
          <w:bCs/>
          <w:sz w:val="22"/>
          <w:szCs w:val="22"/>
          <w:highlight w:val="none"/>
          <w:lang w:eastAsia="en-US"/>
        </w:rPr>
      </w:pPr>
      <w:r>
        <w:rPr>
          <w:rFonts w:eastAsia="Calibri"/>
          <w:b/>
          <w:bCs/>
          <w:sz w:val="22"/>
          <w:szCs w:val="22"/>
          <w:highlight w:val="white"/>
          <w:lang w:eastAsia="en-US"/>
        </w:rPr>
        <w:t xml:space="preserve">Порядок определения победителей аукциона</w:t>
      </w:r>
      <w:r>
        <w:rPr>
          <w:rFonts w:eastAsia="Calibri"/>
          <w:b/>
          <w:bCs/>
          <w:sz w:val="22"/>
          <w:szCs w:val="22"/>
          <w:highlight w:val="none"/>
          <w:lang w:eastAsia="en-US"/>
        </w:rPr>
      </w:r>
      <w:r>
        <w:rPr>
          <w:rFonts w:eastAsia="Calibri"/>
          <w:b/>
          <w:bCs/>
          <w:sz w:val="22"/>
          <w:szCs w:val="22"/>
          <w:highlight w:val="none"/>
          <w:lang w:eastAsia="en-US"/>
        </w:rPr>
      </w:r>
    </w:p>
    <w:p>
      <w:pPr>
        <w:pStyle w:val="874"/>
        <w:jc w:val="center"/>
        <w:spacing w:before="0"/>
        <w:rPr>
          <w:b/>
          <w:bCs/>
          <w:sz w:val="22"/>
          <w:szCs w:val="22"/>
          <w:highlight w:val="white"/>
        </w:rPr>
      </w:pPr>
      <w:r>
        <w:rPr>
          <w:rFonts w:eastAsia="Calibri"/>
          <w:b/>
          <w:bCs/>
          <w:sz w:val="22"/>
          <w:szCs w:val="22"/>
          <w:highlight w:val="white"/>
          <w:lang w:eastAsia="en-US"/>
        </w:rPr>
      </w:r>
      <w:r>
        <w:rPr>
          <w:b/>
          <w:bCs/>
          <w:sz w:val="22"/>
          <w:szCs w:val="22"/>
          <w:highlight w:val="white"/>
        </w:rPr>
      </w:r>
      <w:r>
        <w:rPr>
          <w:b/>
          <w:bCs/>
          <w:sz w:val="22"/>
          <w:szCs w:val="22"/>
          <w:highlight w:val="white"/>
        </w:rPr>
      </w:r>
    </w:p>
    <w:p>
      <w:pPr>
        <w:pStyle w:val="874"/>
        <w:spacing w:before="0"/>
        <w:rPr>
          <w:rFonts w:eastAsia="Calibri"/>
          <w:b w:val="0"/>
          <w:bCs w:val="0"/>
          <w:sz w:val="22"/>
          <w:szCs w:val="22"/>
          <w:highlight w:val="white"/>
        </w:rPr>
      </w:pPr>
      <w:r>
        <w:rPr>
          <w:b w:val="0"/>
          <w:bCs w:val="0"/>
          <w:sz w:val="22"/>
          <w:szCs w:val="22"/>
          <w:highlight w:val="white"/>
        </w:rPr>
        <w:t xml:space="preserve">При участии в аукционе двух и более претендентов, победителем аукциона признается участник, предложивший наиболее высокую цену за имущество.</w:t>
      </w:r>
      <w:r>
        <w:rPr>
          <w:b w:val="0"/>
          <w:bCs w:val="0"/>
          <w:sz w:val="22"/>
          <w:szCs w:val="22"/>
          <w:highlight w:val="white"/>
        </w:rPr>
        <w:t xml:space="preserve"> </w:t>
      </w:r>
      <w:r>
        <w:rPr>
          <w:rFonts w:eastAsia="Calibri"/>
          <w:b w:val="0"/>
          <w:bCs w:val="0"/>
          <w:sz w:val="22"/>
          <w:szCs w:val="22"/>
          <w:highlight w:val="white"/>
          <w:lang w:eastAsia="en-US"/>
        </w:rPr>
        <w:t xml:space="preserve">В случае,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государственного имущества.</w:t>
      </w:r>
      <w:r>
        <w:rPr>
          <w:rFonts w:eastAsia="Calibri"/>
          <w:b w:val="0"/>
          <w:bCs w:val="0"/>
          <w:sz w:val="22"/>
          <w:szCs w:val="22"/>
          <w:highlight w:val="white"/>
          <w:lang w:eastAsia="en-US"/>
        </w:rPr>
        <w:t xml:space="preserve"> В случае отказа лица, признанного единственным участником аукциона, от заключения договора аукцион признается несостоявшимся.</w:t>
      </w:r>
      <w:r>
        <w:rPr>
          <w:rFonts w:eastAsia="Calibri"/>
          <w:b w:val="0"/>
          <w:bCs w:val="0"/>
          <w:sz w:val="22"/>
          <w:szCs w:val="22"/>
          <w:highlight w:val="white"/>
        </w:rPr>
      </w:r>
      <w:r>
        <w:rPr>
          <w:rFonts w:eastAsia="Calibri"/>
          <w:b w:val="0"/>
          <w:bCs w:val="0"/>
          <w:sz w:val="22"/>
          <w:szCs w:val="22"/>
          <w:highlight w:val="white"/>
        </w:rPr>
      </w:r>
    </w:p>
    <w:p>
      <w:pPr>
        <w:contextualSpacing/>
        <w:ind w:firstLine="709"/>
        <w:jc w:val="both"/>
        <w:rPr>
          <w:rFonts w:eastAsia="Calibri"/>
          <w:b/>
          <w:sz w:val="22"/>
          <w:szCs w:val="22"/>
          <w:highlight w:val="white"/>
        </w:rPr>
      </w:pPr>
      <w:r>
        <w:rPr>
          <w:rFonts w:eastAsia="Calibri"/>
          <w:b/>
          <w:sz w:val="22"/>
          <w:szCs w:val="22"/>
          <w:highlight w:val="white"/>
          <w:lang w:eastAsia="en-US"/>
        </w:rPr>
      </w:r>
      <w:r>
        <w:rPr>
          <w:rFonts w:eastAsia="Calibri"/>
          <w:b/>
          <w:sz w:val="22"/>
          <w:szCs w:val="22"/>
          <w:highlight w:val="white"/>
        </w:rPr>
      </w:r>
      <w:r>
        <w:rPr>
          <w:rFonts w:eastAsia="Calibri"/>
          <w:b/>
          <w:sz w:val="22"/>
          <w:szCs w:val="22"/>
          <w:highlight w:val="white"/>
        </w:rPr>
      </w:r>
    </w:p>
    <w:p>
      <w:pPr>
        <w:pStyle w:val="874"/>
        <w:spacing w:before="0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Срок заключения договора купли-продажи в</w:t>
      </w:r>
      <w:r>
        <w:rPr>
          <w:b/>
          <w:bCs/>
          <w:sz w:val="22"/>
          <w:szCs w:val="22"/>
          <w:highlight w:val="white"/>
        </w:rPr>
        <w:t xml:space="preserve"> течение пяти рабочих дней</w:t>
      </w:r>
      <w:r>
        <w:rPr>
          <w:sz w:val="22"/>
          <w:szCs w:val="22"/>
          <w:highlight w:val="white"/>
        </w:rPr>
        <w:t xml:space="preserve"> с даты подведения итогов аукциона.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pStyle w:val="874"/>
        <w:jc w:val="center"/>
        <w:spacing w:before="0"/>
        <w:rPr>
          <w:b/>
          <w:bCs/>
          <w:sz w:val="22"/>
          <w:szCs w:val="22"/>
          <w:highlight w:val="white"/>
        </w:rPr>
      </w:pPr>
      <w:r>
        <w:rPr>
          <w:b/>
          <w:bCs/>
          <w:sz w:val="22"/>
          <w:szCs w:val="22"/>
          <w:highlight w:val="white"/>
        </w:rPr>
      </w:r>
      <w:r>
        <w:rPr>
          <w:b/>
          <w:bCs/>
          <w:sz w:val="22"/>
          <w:szCs w:val="22"/>
          <w:highlight w:val="white"/>
        </w:rPr>
      </w:r>
      <w:r>
        <w:rPr>
          <w:b/>
          <w:bCs/>
          <w:sz w:val="22"/>
          <w:szCs w:val="22"/>
          <w:highlight w:val="white"/>
        </w:rPr>
      </w:r>
    </w:p>
    <w:p>
      <w:pPr>
        <w:pStyle w:val="874"/>
        <w:jc w:val="center"/>
        <w:spacing w:before="0"/>
        <w:rPr>
          <w:sz w:val="22"/>
          <w:szCs w:val="22"/>
          <w:highlight w:val="none"/>
        </w:rPr>
      </w:pPr>
      <w:r>
        <w:rPr>
          <w:b/>
          <w:bCs/>
          <w:sz w:val="22"/>
          <w:szCs w:val="22"/>
          <w:highlight w:val="white"/>
        </w:rPr>
        <w:t xml:space="preserve">Условия и сроки платежа, необходимые реквизиты счетов:</w:t>
      </w: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</w:p>
    <w:p>
      <w:pPr>
        <w:pStyle w:val="874"/>
        <w:jc w:val="center"/>
        <w:spacing w:before="0"/>
        <w:rPr>
          <w:b/>
          <w:bCs/>
          <w:sz w:val="22"/>
          <w:szCs w:val="22"/>
          <w:highlight w:val="white"/>
        </w:rPr>
      </w:pPr>
      <w:r>
        <w:rPr>
          <w:sz w:val="22"/>
          <w:szCs w:val="22"/>
          <w:highlight w:val="none"/>
        </w:rPr>
      </w:r>
      <w:r>
        <w:rPr>
          <w:b/>
          <w:bCs/>
          <w:sz w:val="22"/>
          <w:szCs w:val="22"/>
          <w:highlight w:val="white"/>
        </w:rPr>
      </w:r>
      <w:r>
        <w:rPr>
          <w:b/>
          <w:bCs/>
          <w:sz w:val="22"/>
          <w:szCs w:val="22"/>
          <w:highlight w:val="white"/>
        </w:rPr>
      </w:r>
    </w:p>
    <w:p>
      <w:pPr>
        <w:pStyle w:val="893"/>
        <w:ind w:left="0" w:right="22"/>
        <w:rPr>
          <w:sz w:val="22"/>
          <w:szCs w:val="22"/>
          <w:highlight w:val="white"/>
        </w:rPr>
      </w:pPr>
      <w:r>
        <w:rPr>
          <w:b w:val="0"/>
          <w:bCs w:val="0"/>
          <w:sz w:val="22"/>
          <w:szCs w:val="22"/>
          <w:highlight w:val="white"/>
        </w:rPr>
        <w:t xml:space="preserve">Оплата имущества должна быть произведена </w:t>
      </w:r>
      <w:r>
        <w:rPr>
          <w:b w:val="0"/>
          <w:bCs w:val="0"/>
          <w:sz w:val="22"/>
          <w:szCs w:val="22"/>
          <w:highlight w:val="white"/>
        </w:rPr>
        <w:t xml:space="preserve">не позднее 10 рабочих дней со дня заключения договора купли-продажи по следующим реквизитам: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pStyle w:val="893"/>
        <w:ind w:left="0" w:right="22"/>
        <w:rPr>
          <w:sz w:val="22"/>
          <w:szCs w:val="22"/>
          <w:highlight w:val="white"/>
        </w:rPr>
      </w:pPr>
      <w:r>
        <w:rPr>
          <w:b w:val="0"/>
          <w:bCs w:val="0"/>
          <w:sz w:val="22"/>
          <w:szCs w:val="22"/>
          <w:highlight w:val="white"/>
        </w:rPr>
        <w:t xml:space="preserve">Наименование получателя платежа: Управление Федерального казначейства по Новосибирской области (Департамент имущества и земельных отношений Новосибирской области, л/сч 04512005970).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pStyle w:val="893"/>
        <w:ind w:left="0" w:right="22"/>
        <w:rPr>
          <w:sz w:val="22"/>
          <w:szCs w:val="22"/>
          <w:highlight w:val="white"/>
        </w:rPr>
      </w:pPr>
      <w:r>
        <w:rPr>
          <w:b w:val="0"/>
          <w:bCs w:val="0"/>
          <w:sz w:val="22"/>
          <w:szCs w:val="22"/>
          <w:highlight w:val="white"/>
        </w:rPr>
        <w:t xml:space="preserve">ИНН получателя платежа: 5406214965.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pStyle w:val="893"/>
        <w:ind w:left="0" w:right="22"/>
        <w:rPr>
          <w:sz w:val="22"/>
          <w:szCs w:val="22"/>
          <w:highlight w:val="white"/>
        </w:rPr>
      </w:pPr>
      <w:r>
        <w:rPr>
          <w:b w:val="0"/>
          <w:bCs w:val="0"/>
          <w:sz w:val="22"/>
          <w:szCs w:val="22"/>
          <w:highlight w:val="white"/>
        </w:rPr>
        <w:t xml:space="preserve">КПП получателя платежа: 540601001.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pStyle w:val="893"/>
        <w:ind w:left="0" w:right="22"/>
        <w:rPr>
          <w:sz w:val="22"/>
          <w:szCs w:val="22"/>
          <w:highlight w:val="white"/>
        </w:rPr>
      </w:pPr>
      <w:r>
        <w:rPr>
          <w:b w:val="0"/>
          <w:bCs w:val="0"/>
          <w:sz w:val="22"/>
          <w:szCs w:val="22"/>
          <w:highlight w:val="white"/>
        </w:rPr>
        <w:t xml:space="preserve">Расчетный счет получателя: 03100643000000015100 в Сибирском ГУ Банка России // УФК по Новосибирской области г. Новосибирск. БИК 015004950.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pStyle w:val="893"/>
        <w:ind w:left="0" w:right="22"/>
        <w:rPr>
          <w:sz w:val="22"/>
          <w:szCs w:val="22"/>
          <w:highlight w:val="white"/>
        </w:rPr>
      </w:pPr>
      <w:r>
        <w:rPr>
          <w:b w:val="0"/>
          <w:bCs w:val="0"/>
          <w:sz w:val="22"/>
          <w:szCs w:val="22"/>
          <w:highlight w:val="white"/>
        </w:rPr>
        <w:t xml:space="preserve">Код бюджетной классификации (КБК): 120 1 14 02023 02 0000 410</w:t>
      </w:r>
      <w:r>
        <w:rPr>
          <w:b w:val="0"/>
          <w:bCs w:val="0"/>
          <w:sz w:val="22"/>
          <w:szCs w:val="22"/>
          <w:highlight w:val="white"/>
        </w:rPr>
        <w:t xml:space="preserve">.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pStyle w:val="893"/>
        <w:ind w:left="0" w:right="22"/>
        <w:rPr>
          <w:sz w:val="22"/>
          <w:szCs w:val="22"/>
          <w:highlight w:val="white"/>
        </w:rPr>
      </w:pPr>
      <w:r>
        <w:rPr>
          <w:b w:val="0"/>
          <w:bCs w:val="0"/>
          <w:sz w:val="22"/>
          <w:szCs w:val="22"/>
          <w:highlight w:val="white"/>
        </w:rPr>
        <w:t xml:space="preserve">Код ОКТМО: 50701000.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ind w:right="22"/>
        <w:jc w:val="both"/>
        <w:tabs>
          <w:tab w:val="num" w:pos="0" w:leader="none"/>
        </w:tabs>
        <w:rPr>
          <w:sz w:val="22"/>
          <w:szCs w:val="22"/>
        </w:rPr>
      </w:pPr>
      <w:r>
        <w:rPr>
          <w:sz w:val="22"/>
          <w:szCs w:val="22"/>
          <w:highlight w:val="white"/>
        </w:rPr>
        <w:tab/>
        <w:t xml:space="preserve">Победитель аукциона, являющийся налоговым агентом, за исключением фи</w:t>
      </w:r>
      <w:r>
        <w:rPr>
          <w:sz w:val="22"/>
          <w:szCs w:val="22"/>
        </w:rPr>
        <w:t xml:space="preserve">зического лица, не являющегося индивидуальным предпринимателем, самостоятельно исчисляет и уплачивает НДС в соответствии с налоговым законодательством.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74"/>
        <w:spacing w:before="0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74"/>
        <w:jc w:val="center"/>
        <w:spacing w:before="0"/>
        <w:rPr>
          <w:b/>
          <w:bCs/>
          <w:sz w:val="22"/>
          <w:szCs w:val="22"/>
          <w:highlight w:val="white"/>
        </w:rPr>
      </w:pPr>
      <w:r>
        <w:rPr>
          <w:b/>
          <w:bCs/>
          <w:sz w:val="22"/>
          <w:szCs w:val="22"/>
          <w:highlight w:val="white"/>
        </w:rPr>
      </w:r>
      <w:r>
        <w:rPr>
          <w:b/>
          <w:bCs/>
          <w:sz w:val="22"/>
          <w:szCs w:val="22"/>
          <w:highlight w:val="white"/>
        </w:rPr>
        <w:t xml:space="preserve">Ограничения участия отдельных категорий физических лиц и юридических лиц в приватизации имущества</w:t>
      </w:r>
      <w:r>
        <w:rPr>
          <w:b/>
          <w:bCs/>
          <w:sz w:val="22"/>
          <w:szCs w:val="22"/>
          <w:highlight w:val="white"/>
        </w:rPr>
      </w:r>
      <w:r>
        <w:rPr>
          <w:b/>
          <w:bCs/>
          <w:sz w:val="22"/>
          <w:szCs w:val="22"/>
          <w:highlight w:val="white"/>
        </w:rPr>
      </w:r>
    </w:p>
    <w:p>
      <w:pPr>
        <w:pStyle w:val="874"/>
        <w:spacing w:before="0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Покупателями государственного и муниципального имущества могут быть любые физические и юридические лица, за исключением: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pStyle w:val="874"/>
        <w:spacing w:before="0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государственных и муниципальных унитарных предприятий, государственных и муниципальных учреждений;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pStyle w:val="874"/>
        <w:spacing w:before="0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процентов;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pStyle w:val="874"/>
        <w:spacing w:before="0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ю</w:t>
      </w:r>
      <w:r>
        <w:rPr>
          <w:sz w:val="22"/>
          <w:szCs w:val="22"/>
          <w:highlight w:val="white"/>
        </w:rPr>
        <w:t xml:space="preserve">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</w:t>
      </w:r>
      <w:r>
        <w:rPr>
          <w:sz w:val="22"/>
          <w:szCs w:val="22"/>
          <w:highlight w:val="white"/>
        </w:rPr>
        <w:t xml:space="preserve">у</w:t>
      </w:r>
      <w:r>
        <w:rPr>
          <w:sz w:val="22"/>
          <w:szCs w:val="22"/>
          <w:highlight w:val="white"/>
        </w:rPr>
        <w:t xml:space="preserve">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</w:t>
      </w:r>
      <w:r>
        <w:rPr>
          <w:sz w:val="22"/>
          <w:szCs w:val="22"/>
          <w:highlight w:val="white"/>
        </w:rPr>
        <w:t xml:space="preserve">установленном Правительством Российской Федерации;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pStyle w:val="874"/>
        <w:spacing w:before="0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Понятие «контролирующее лицо» используется в том же значении, что и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</w:t>
      </w:r>
      <w:r>
        <w:rPr>
          <w:sz w:val="22"/>
          <w:szCs w:val="22"/>
          <w:highlight w:val="white"/>
        </w:rPr>
        <w:t xml:space="preserve">ны страны и безопасности государства». Понятия «выгодоприобретатель» и «бенефициарный владелец» используются в значениях, указанных в статье 3 Федерального закона от 07.08.2001 № 115-ФЗ «О противодействии легализации (отмыванию) доходов, полученных</w:t>
      </w:r>
      <w:r>
        <w:rPr>
          <w:sz w:val="22"/>
          <w:szCs w:val="22"/>
          <w:highlight w:val="white"/>
        </w:rPr>
        <w:t xml:space="preserve"> преступным путем, и финансированию терроризма».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pStyle w:val="874"/>
        <w:spacing w:before="0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В случае если впоследствии будет установлено, что покупатель государственного имущества Новосибирской области не имел законного права на его приобретение, сделка признается ничтожной.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pStyle w:val="874"/>
        <w:spacing w:before="0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ind w:firstLine="709"/>
        <w:jc w:val="center"/>
        <w:tabs>
          <w:tab w:val="left" w:pos="284" w:leader="none"/>
        </w:tabs>
        <w:rPr>
          <w:b/>
          <w:bCs/>
          <w:sz w:val="22"/>
          <w:szCs w:val="22"/>
          <w:highlight w:val="white"/>
        </w:rPr>
      </w:pPr>
      <w:r>
        <w:rPr>
          <w:b/>
          <w:sz w:val="22"/>
          <w:szCs w:val="22"/>
          <w:highlight w:val="white"/>
        </w:rPr>
        <w:t xml:space="preserve">Порядок ознакомления покупателей с иной информацией, условиями договора купли-продажи имущества </w:t>
      </w:r>
      <w:r>
        <w:rPr>
          <w:b/>
          <w:bCs/>
          <w:sz w:val="22"/>
          <w:szCs w:val="22"/>
          <w:highlight w:val="white"/>
        </w:rPr>
      </w:r>
      <w:r>
        <w:rPr>
          <w:b/>
          <w:bCs/>
          <w:sz w:val="22"/>
          <w:szCs w:val="22"/>
          <w:highlight w:val="white"/>
        </w:rPr>
      </w:r>
    </w:p>
    <w:p>
      <w:pPr>
        <w:ind w:firstLine="709"/>
        <w:jc w:val="center"/>
        <w:tabs>
          <w:tab w:val="left" w:pos="284" w:leader="none"/>
        </w:tabs>
        <w:rPr>
          <w:b/>
          <w:bCs/>
          <w:sz w:val="22"/>
          <w:szCs w:val="22"/>
          <w:highlight w:val="white"/>
        </w:rPr>
      </w:pPr>
      <w:r>
        <w:rPr>
          <w:b/>
          <w:sz w:val="22"/>
          <w:szCs w:val="22"/>
          <w:highlight w:val="white"/>
        </w:rPr>
      </w:r>
      <w:r>
        <w:rPr>
          <w:b/>
          <w:bCs/>
          <w:sz w:val="22"/>
          <w:szCs w:val="22"/>
          <w:highlight w:val="white"/>
        </w:rPr>
      </w:r>
      <w:r>
        <w:rPr>
          <w:b/>
          <w:bCs/>
          <w:sz w:val="22"/>
          <w:szCs w:val="22"/>
          <w:highlight w:val="white"/>
        </w:rPr>
      </w:r>
    </w:p>
    <w:p>
      <w:pPr>
        <w:pStyle w:val="894"/>
        <w:ind w:firstLine="709"/>
        <w:tabs>
          <w:tab w:val="left" w:pos="284" w:leader="none"/>
        </w:tabs>
        <w:rPr>
          <w:sz w:val="22"/>
          <w:szCs w:val="22"/>
          <w:highlight w:val="white"/>
        </w:rPr>
        <w:outlineLvl w:val="0"/>
      </w:pPr>
      <w:r>
        <w:rPr>
          <w:bCs/>
          <w:sz w:val="22"/>
          <w:szCs w:val="22"/>
          <w:highlight w:val="white"/>
        </w:rPr>
        <w:t xml:space="preserve">Информационное сообщение о проведении аукциона </w:t>
      </w:r>
      <w:r>
        <w:rPr>
          <w:sz w:val="22"/>
          <w:szCs w:val="22"/>
          <w:highlight w:val="white"/>
        </w:rPr>
        <w:t xml:space="preserve">размещается на официальном сайте Российской Федерации для размещения информации о проведении торгов www.torgi.gov.ru, на сайте продавца – </w:t>
      </w:r>
      <w:r>
        <w:rPr>
          <w:sz w:val="22"/>
          <w:szCs w:val="22"/>
          <w:highlight w:val="white"/>
        </w:rPr>
        <w:t xml:space="preserve">Департамента имущества и земельных отношений Новосибирской области</w:t>
      </w:r>
      <w:r>
        <w:rPr>
          <w:sz w:val="22"/>
          <w:szCs w:val="22"/>
          <w:highlight w:val="white"/>
        </w:rPr>
        <w:t xml:space="preserve"> – </w:t>
      </w:r>
      <w:hyperlink r:id="rId16" w:tooltip="http://dizo.nso.ru" w:history="1">
        <w:r>
          <w:rPr>
            <w:rStyle w:val="878"/>
            <w:sz w:val="22"/>
            <w:szCs w:val="22"/>
            <w:highlight w:val="white"/>
          </w:rPr>
          <w:t xml:space="preserve">http://dizo.nso.ru</w:t>
        </w:r>
      </w:hyperlink>
      <w:r>
        <w:rPr>
          <w:sz w:val="22"/>
          <w:szCs w:val="22"/>
          <w:highlight w:val="white"/>
        </w:rPr>
        <w:t xml:space="preserve">, </w:t>
      </w:r>
      <w:r>
        <w:rPr>
          <w:sz w:val="22"/>
          <w:szCs w:val="22"/>
          <w:highlight w:val="white"/>
        </w:rPr>
        <w:t xml:space="preserve">на сайт</w:t>
      </w:r>
      <w:r>
        <w:rPr>
          <w:sz w:val="22"/>
          <w:szCs w:val="22"/>
          <w:highlight w:val="white"/>
        </w:rPr>
        <w:t xml:space="preserve">е</w:t>
      </w:r>
      <w:r>
        <w:rPr>
          <w:sz w:val="22"/>
          <w:szCs w:val="22"/>
          <w:highlight w:val="white"/>
        </w:rPr>
        <w:t xml:space="preserve"> Правительства Новосибирской области: https://www.nso.ru</w:t>
      </w:r>
      <w:r>
        <w:rPr>
          <w:sz w:val="22"/>
          <w:szCs w:val="22"/>
          <w:highlight w:val="white"/>
        </w:rPr>
        <w:t xml:space="preserve">,</w:t>
      </w:r>
      <w:r>
        <w:rPr>
          <w:sz w:val="22"/>
          <w:szCs w:val="22"/>
          <w:highlight w:val="white"/>
        </w:rPr>
        <w:t xml:space="preserve"> </w:t>
      </w:r>
      <w:r>
        <w:rPr>
          <w:sz w:val="22"/>
          <w:szCs w:val="22"/>
          <w:highlight w:val="white"/>
        </w:rPr>
        <w:t xml:space="preserve">на электронной площадке</w:t>
      </w:r>
      <w:r>
        <w:rPr>
          <w:sz w:val="22"/>
          <w:szCs w:val="22"/>
          <w:highlight w:val="white"/>
        </w:rPr>
        <w:br/>
      </w:r>
      <w:r>
        <w:rPr>
          <w:sz w:val="22"/>
          <w:szCs w:val="22"/>
          <w:highlight w:val="white"/>
        </w:rPr>
        <w:t xml:space="preserve">«РТС-тендер</w:t>
      </w:r>
      <w:r>
        <w:rPr>
          <w:sz w:val="22"/>
          <w:szCs w:val="22"/>
          <w:highlight w:val="white"/>
        </w:rPr>
        <w:t xml:space="preserve">» </w:t>
      </w:r>
      <w:hyperlink r:id="rId17" w:tooltip="http://www.rts-tender.ru" w:history="1">
        <w:r>
          <w:rPr>
            <w:sz w:val="22"/>
            <w:szCs w:val="22"/>
            <w:highlight w:val="white"/>
          </w:rPr>
          <w:t xml:space="preserve">www.rts-tender.ru</w:t>
        </w:r>
      </w:hyperlink>
      <w:r>
        <w:rPr>
          <w:sz w:val="22"/>
          <w:szCs w:val="22"/>
          <w:highlight w:val="white"/>
        </w:rPr>
        <w:t xml:space="preserve">.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ind w:firstLine="709"/>
        <w:jc w:val="both"/>
        <w:tabs>
          <w:tab w:val="left" w:pos="284" w:leader="none"/>
        </w:tabs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Любое заинтересованное лицо независимо от регистрации на электронной площадке со дня начала приема заявок вправе направить запрос о разъяснении размещенной информации.</w:t>
      </w:r>
      <w:r>
        <w:rPr>
          <w:sz w:val="22"/>
          <w:szCs w:val="22"/>
          <w:highlight w:val="white"/>
        </w:rPr>
        <w:t xml:space="preserve"> </w:t>
      </w:r>
      <w:r>
        <w:rPr>
          <w:sz w:val="22"/>
          <w:szCs w:val="22"/>
          <w:highlight w:val="white"/>
        </w:rPr>
        <w:t xml:space="preserve">Такой запрос в режиме реального времени направляется в «личный кабинет» Продавца</w:t>
      </w:r>
      <w:r>
        <w:rPr>
          <w:sz w:val="22"/>
          <w:szCs w:val="22"/>
          <w:highlight w:val="white"/>
        </w:rPr>
        <w:br/>
      </w:r>
      <w:r>
        <w:rPr>
          <w:sz w:val="22"/>
          <w:szCs w:val="22"/>
          <w:highlight w:val="white"/>
        </w:rPr>
        <w:t xml:space="preserve">для рассмотрения при условии, что запрос поступил Продавцу не позднее 5 (пяти) рабочих дней до даты окончания подачи заявок.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pStyle w:val="894"/>
        <w:ind w:firstLine="709"/>
        <w:tabs>
          <w:tab w:val="left" w:pos="284" w:leader="none"/>
        </w:tabs>
        <w:rPr>
          <w:sz w:val="22"/>
          <w:szCs w:val="22"/>
          <w:highlight w:val="white"/>
        </w:rPr>
        <w:outlineLvl w:val="0"/>
      </w:pPr>
      <w:r>
        <w:rPr>
          <w:sz w:val="22"/>
          <w:szCs w:val="22"/>
          <w:highlight w:val="white"/>
        </w:rPr>
        <w:t xml:space="preserve">В течение 2 (двух) рабочих дней со дня поступления запроса Продавец предоставляет разъяснение с указанием предмета запроса, но без указания лица, от которого поступил запрос.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ind w:firstLine="709"/>
        <w:jc w:val="both"/>
        <w:tabs>
          <w:tab w:val="left" w:pos="284" w:leader="none"/>
        </w:tabs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С информацией о подлежащем приватизации имуществе можно ознакомиться в период заявочной кампании, направив запрос на электронный адрес Продавца </w:t>
      </w:r>
      <w:r>
        <w:rPr>
          <w:sz w:val="22"/>
          <w:szCs w:val="22"/>
          <w:highlight w:val="white"/>
          <w:lang w:val="en-US"/>
        </w:rPr>
        <w:t xml:space="preserve">boaal</w:t>
      </w:r>
      <w:r>
        <w:rPr>
          <w:sz w:val="22"/>
          <w:szCs w:val="22"/>
          <w:highlight w:val="white"/>
        </w:rPr>
        <w:t xml:space="preserve">@</w:t>
      </w:r>
      <w:r>
        <w:rPr>
          <w:sz w:val="22"/>
          <w:szCs w:val="22"/>
          <w:highlight w:val="white"/>
          <w:lang w:val="en-US"/>
        </w:rPr>
        <w:t xml:space="preserve">nso</w:t>
      </w:r>
      <w:r>
        <w:rPr>
          <w:sz w:val="22"/>
          <w:szCs w:val="22"/>
          <w:highlight w:val="white"/>
        </w:rPr>
        <w:t xml:space="preserve">.</w:t>
      </w:r>
      <w:r>
        <w:rPr>
          <w:sz w:val="22"/>
          <w:szCs w:val="22"/>
          <w:highlight w:val="white"/>
          <w:lang w:val="en-US"/>
        </w:rPr>
        <w:t xml:space="preserve">ru</w:t>
      </w:r>
      <w:r>
        <w:rPr>
          <w:sz w:val="22"/>
          <w:szCs w:val="22"/>
          <w:highlight w:val="white"/>
        </w:rPr>
        <w:t xml:space="preserve">.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ind w:firstLine="709"/>
        <w:jc w:val="both"/>
        <w:tabs>
          <w:tab w:val="left" w:pos="284" w:leader="none"/>
        </w:tabs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По истечении 2 (двух) рабочих дней со дня поступления запроса Продавец направляет</w:t>
      </w:r>
      <w:r>
        <w:rPr>
          <w:sz w:val="22"/>
          <w:szCs w:val="22"/>
          <w:highlight w:val="white"/>
        </w:rPr>
        <w:br/>
      </w:r>
      <w:r>
        <w:rPr>
          <w:sz w:val="22"/>
          <w:szCs w:val="22"/>
          <w:highlight w:val="white"/>
        </w:rPr>
        <w:t xml:space="preserve">на электронный адрес Претендента ответ с указанием места, даты и времени выдачи документов</w:t>
      </w:r>
      <w:r>
        <w:rPr>
          <w:sz w:val="22"/>
          <w:szCs w:val="22"/>
          <w:highlight w:val="white"/>
        </w:rPr>
        <w:br/>
      </w:r>
      <w:r>
        <w:rPr>
          <w:sz w:val="22"/>
          <w:szCs w:val="22"/>
          <w:highlight w:val="white"/>
        </w:rPr>
        <w:t xml:space="preserve">для ознакомления с информацией</w:t>
      </w:r>
      <w:r>
        <w:rPr>
          <w:sz w:val="22"/>
          <w:szCs w:val="22"/>
          <w:highlight w:val="white"/>
        </w:rPr>
        <w:t xml:space="preserve"> </w:t>
      </w:r>
      <w:r>
        <w:rPr>
          <w:sz w:val="22"/>
          <w:szCs w:val="22"/>
          <w:highlight w:val="white"/>
        </w:rPr>
        <w:t xml:space="preserve">об объекте.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ind w:firstLine="709"/>
        <w:jc w:val="both"/>
        <w:tabs>
          <w:tab w:val="left" w:pos="284" w:leader="none"/>
        </w:tabs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</w:t>
      </w:r>
      <w:r>
        <w:rPr>
          <w:sz w:val="22"/>
          <w:szCs w:val="22"/>
          <w:highlight w:val="white"/>
        </w:rPr>
        <w:t xml:space="preserve"> даты окончания срока приема заявок на участие в аукционе вправе осмотреть выставленное на продажу имущество в период приема заявок на участие в торгах. Запрос на осмотр выставленного на продажу имущества может быть направлен на электронный адрес Продавца </w:t>
      </w:r>
      <w:r>
        <w:rPr>
          <w:sz w:val="22"/>
          <w:szCs w:val="22"/>
          <w:highlight w:val="white"/>
          <w:lang w:val="en-US"/>
        </w:rPr>
        <w:t xml:space="preserve">boaal</w:t>
      </w:r>
      <w:r>
        <w:rPr>
          <w:sz w:val="22"/>
          <w:szCs w:val="22"/>
          <w:highlight w:val="white"/>
        </w:rPr>
        <w:t xml:space="preserve">@</w:t>
      </w:r>
      <w:r>
        <w:rPr>
          <w:sz w:val="22"/>
          <w:szCs w:val="22"/>
          <w:highlight w:val="white"/>
          <w:lang w:val="en-US"/>
        </w:rPr>
        <w:t xml:space="preserve">nso</w:t>
      </w:r>
      <w:r>
        <w:rPr>
          <w:sz w:val="22"/>
          <w:szCs w:val="22"/>
          <w:highlight w:val="white"/>
        </w:rPr>
        <w:t xml:space="preserve">.</w:t>
      </w:r>
      <w:r>
        <w:rPr>
          <w:sz w:val="22"/>
          <w:szCs w:val="22"/>
          <w:highlight w:val="white"/>
          <w:lang w:val="en-US"/>
        </w:rPr>
        <w:t xml:space="preserve">ru</w:t>
      </w:r>
      <w:r>
        <w:rPr>
          <w:sz w:val="22"/>
          <w:szCs w:val="22"/>
          <w:highlight w:val="white"/>
        </w:rPr>
        <w:t xml:space="preserve">.</w:t>
      </w:r>
      <w:r>
        <w:rPr>
          <w:sz w:val="22"/>
          <w:szCs w:val="22"/>
          <w:highlight w:val="white"/>
        </w:rPr>
        <w:t xml:space="preserve">, не позднее чем за два рабочих дня до даты окончания срока подачи заявок на участие в аукционе.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ind w:firstLine="709"/>
        <w:jc w:val="both"/>
        <w:tabs>
          <w:tab w:val="left" w:pos="284" w:leader="none"/>
        </w:tabs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Документооборот между Претендентами, участниками торгов, Продавцом осуществляется </w:t>
      </w:r>
      <w:r>
        <w:rPr>
          <w:sz w:val="22"/>
          <w:szCs w:val="22"/>
          <w:highlight w:val="white"/>
        </w:rPr>
        <w:t xml:space="preserve">в форм</w:t>
      </w:r>
      <w:r>
        <w:rPr>
          <w:sz w:val="22"/>
          <w:szCs w:val="22"/>
          <w:highlight w:val="white"/>
        </w:rPr>
        <w:t xml:space="preserve">е электронных документов либо электронных образов документов, заверенных электронной подписью лица, имеющего право действовать от имени Претендента и Продавца, за исключением договора купли-продажи имущества, который заключается в простой письменной форме.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ind w:firstLine="709"/>
        <w:jc w:val="both"/>
        <w:tabs>
          <w:tab w:val="left" w:pos="284" w:leader="none"/>
        </w:tabs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Наличие электронной подписи уполномоченного (доверенног</w:t>
      </w:r>
      <w:r>
        <w:rPr>
          <w:sz w:val="22"/>
          <w:szCs w:val="22"/>
          <w:highlight w:val="white"/>
        </w:rPr>
        <w:t xml:space="preserve">о) лица означает, что документы</w:t>
      </w:r>
      <w:r>
        <w:rPr>
          <w:sz w:val="22"/>
          <w:szCs w:val="22"/>
          <w:highlight w:val="white"/>
        </w:rPr>
        <w:br/>
      </w:r>
      <w:r>
        <w:rPr>
          <w:sz w:val="22"/>
          <w:szCs w:val="22"/>
          <w:highlight w:val="white"/>
        </w:rPr>
        <w:t xml:space="preserve">и сведения, поданные в форме электронных документов, направлены от имени Претендента, участника </w:t>
      </w:r>
      <w:r>
        <w:rPr>
          <w:sz w:val="22"/>
          <w:szCs w:val="22"/>
          <w:highlight w:val="white"/>
        </w:rPr>
        <w:t xml:space="preserve">торгов, Продавца и отправитель несет</w:t>
      </w:r>
      <w:r>
        <w:rPr>
          <w:sz w:val="22"/>
          <w:szCs w:val="22"/>
          <w:highlight w:val="white"/>
        </w:rPr>
        <w:t xml:space="preserve"> ответственность за подлинность</w:t>
      </w:r>
      <w:r>
        <w:rPr>
          <w:sz w:val="22"/>
          <w:szCs w:val="22"/>
          <w:highlight w:val="white"/>
        </w:rPr>
        <w:br/>
      </w:r>
      <w:r>
        <w:rPr>
          <w:sz w:val="22"/>
          <w:szCs w:val="22"/>
          <w:highlight w:val="white"/>
        </w:rPr>
        <w:t xml:space="preserve">и достоверность таких документов и сведений. 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ind w:firstLine="709"/>
        <w:jc w:val="both"/>
        <w:tabs>
          <w:tab w:val="left" w:pos="284" w:leader="none"/>
        </w:tabs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С формой заявки, условиями договора купли-продажи, а также с иными находящимися</w:t>
      </w:r>
      <w:r>
        <w:rPr>
          <w:sz w:val="22"/>
          <w:szCs w:val="22"/>
          <w:highlight w:val="white"/>
        </w:rPr>
        <w:br/>
      </w:r>
      <w:r>
        <w:rPr>
          <w:sz w:val="22"/>
          <w:szCs w:val="22"/>
          <w:highlight w:val="white"/>
        </w:rPr>
        <w:t xml:space="preserve">в распоряжении Продавца документами сведениями об имуществе покупатели могут ознакомиться</w:t>
      </w:r>
      <w:r>
        <w:rPr>
          <w:sz w:val="22"/>
          <w:szCs w:val="22"/>
          <w:highlight w:val="white"/>
        </w:rPr>
        <w:br/>
      </w:r>
      <w:r>
        <w:rPr>
          <w:sz w:val="22"/>
          <w:szCs w:val="22"/>
          <w:highlight w:val="white"/>
        </w:rPr>
        <w:t xml:space="preserve">по адресу:</w:t>
      </w:r>
      <w:r>
        <w:rPr>
          <w:sz w:val="22"/>
          <w:szCs w:val="22"/>
          <w:highlight w:val="white"/>
        </w:rPr>
        <w:t xml:space="preserve"> </w:t>
      </w:r>
      <w:r>
        <w:rPr>
          <w:sz w:val="22"/>
          <w:szCs w:val="22"/>
          <w:highlight w:val="white"/>
        </w:rPr>
        <w:t xml:space="preserve">630011, Красный проспект, 18, каб. 220</w:t>
      </w:r>
      <w:r>
        <w:rPr>
          <w:sz w:val="22"/>
          <w:szCs w:val="22"/>
          <w:highlight w:val="white"/>
        </w:rPr>
        <w:t xml:space="preserve">. </w:t>
      </w:r>
      <w:r>
        <w:rPr>
          <w:sz w:val="22"/>
          <w:szCs w:val="22"/>
          <w:highlight w:val="white"/>
        </w:rPr>
        <w:t xml:space="preserve">Телефоны: 8 (</w:t>
      </w:r>
      <w:r>
        <w:rPr>
          <w:sz w:val="22"/>
          <w:szCs w:val="22"/>
          <w:highlight w:val="white"/>
        </w:rPr>
        <w:t xml:space="preserve">383</w:t>
      </w:r>
      <w:r>
        <w:rPr>
          <w:sz w:val="22"/>
          <w:szCs w:val="22"/>
          <w:highlight w:val="white"/>
        </w:rPr>
        <w:t xml:space="preserve">) </w:t>
      </w:r>
      <w:r>
        <w:rPr>
          <w:sz w:val="22"/>
          <w:szCs w:val="22"/>
          <w:highlight w:val="white"/>
        </w:rPr>
        <w:t xml:space="preserve">238-60-50, </w:t>
      </w:r>
      <w:r>
        <w:rPr>
          <w:sz w:val="22"/>
          <w:szCs w:val="22"/>
          <w:highlight w:val="white"/>
        </w:rPr>
        <w:t xml:space="preserve">238-60-52</w:t>
      </w:r>
      <w:r>
        <w:rPr>
          <w:sz w:val="22"/>
          <w:szCs w:val="22"/>
          <w:highlight w:val="white"/>
        </w:rPr>
        <w:t xml:space="preserve">.</w:t>
      </w:r>
      <w:r>
        <w:rPr>
          <w:sz w:val="22"/>
          <w:szCs w:val="22"/>
          <w:highlight w:val="white"/>
        </w:rPr>
        <w:t xml:space="preserve"> </w:t>
      </w:r>
      <w:r>
        <w:rPr>
          <w:sz w:val="22"/>
          <w:szCs w:val="22"/>
          <w:highlight w:val="white"/>
        </w:rPr>
        <w:t xml:space="preserve">Адрес электронной почты: </w:t>
      </w:r>
      <w:r>
        <w:rPr>
          <w:sz w:val="22"/>
          <w:szCs w:val="22"/>
          <w:highlight w:val="white"/>
          <w:lang w:val="en-US"/>
        </w:rPr>
      </w:r>
      <w:hyperlink r:id="rId18" w:tooltip="http://boaal@nso.ru" w:history="1">
        <w:r>
          <w:rPr>
            <w:rStyle w:val="878"/>
            <w:sz w:val="22"/>
            <w:szCs w:val="22"/>
            <w:highlight w:val="white"/>
            <w:lang w:val="en-US"/>
          </w:rPr>
          <w:t xml:space="preserve">boaal</w:t>
        </w:r>
        <w:r>
          <w:rPr>
            <w:rStyle w:val="878"/>
            <w:sz w:val="22"/>
            <w:szCs w:val="22"/>
            <w:highlight w:val="white"/>
          </w:rPr>
          <w:t xml:space="preserve">@</w:t>
        </w:r>
        <w:r>
          <w:rPr>
            <w:rStyle w:val="878"/>
            <w:sz w:val="22"/>
            <w:szCs w:val="22"/>
            <w:highlight w:val="white"/>
            <w:lang w:val="en-US"/>
          </w:rPr>
          <w:t xml:space="preserve">nso</w:t>
        </w:r>
        <w:r>
          <w:rPr>
            <w:rStyle w:val="878"/>
            <w:sz w:val="22"/>
            <w:szCs w:val="22"/>
            <w:highlight w:val="white"/>
          </w:rPr>
          <w:t xml:space="preserve">.ru</w:t>
        </w:r>
        <w:r>
          <w:rPr>
            <w:rStyle w:val="878"/>
            <w:sz w:val="22"/>
            <w:szCs w:val="22"/>
            <w:highlight w:val="white"/>
          </w:rPr>
        </w:r>
        <w:r>
          <w:rPr>
            <w:rStyle w:val="878"/>
            <w:sz w:val="22"/>
            <w:szCs w:val="22"/>
            <w:highlight w:val="white"/>
          </w:rPr>
        </w:r>
        <w:r>
          <w:rPr>
            <w:rStyle w:val="878"/>
            <w:sz w:val="22"/>
            <w:szCs w:val="22"/>
            <w:highlight w:val="white"/>
          </w:rPr>
        </w:r>
      </w:hyperlink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pStyle w:val="874"/>
        <w:spacing w:before="0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Проект договора купли-продажи имущества содержится в документации об аукционе.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ind w:firstLine="709"/>
        <w:jc w:val="both"/>
        <w:tabs>
          <w:tab w:val="left" w:pos="284" w:leader="none"/>
        </w:tabs>
        <w:rPr>
          <w:sz w:val="22"/>
          <w:szCs w:val="22"/>
          <w:highlight w:val="none"/>
        </w:rPr>
      </w:pP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</w:p>
    <w:p>
      <w:pPr>
        <w:pStyle w:val="874"/>
        <w:spacing w:before="0"/>
        <w:rPr>
          <w:sz w:val="22"/>
          <w:szCs w:val="22"/>
          <w:highlight w:val="none"/>
        </w:rPr>
      </w:pPr>
      <w:r>
        <w:rPr>
          <w:sz w:val="22"/>
          <w:szCs w:val="22"/>
        </w:rPr>
        <w:t xml:space="preserve">Информация о продаже имущества на аукционе опубликована на официальном сайте Российской Федерации для размещения информации о проведении торгов www.torgi.gov.ru, </w:t>
      </w:r>
      <w:r>
        <w:rPr>
          <w:sz w:val="22"/>
          <w:szCs w:val="22"/>
        </w:rPr>
        <w:t xml:space="preserve">на сайт</w:t>
      </w:r>
      <w:r>
        <w:rPr>
          <w:sz w:val="22"/>
          <w:szCs w:val="22"/>
        </w:rPr>
        <w:t xml:space="preserve">е</w:t>
      </w:r>
      <w:r>
        <w:rPr>
          <w:sz w:val="22"/>
          <w:szCs w:val="22"/>
        </w:rPr>
        <w:t xml:space="preserve"> Правительства Новосибирской области: https://www.nso.ru</w:t>
      </w:r>
      <w:r>
        <w:rPr>
          <w:sz w:val="22"/>
          <w:szCs w:val="22"/>
        </w:rPr>
        <w:t xml:space="preserve">,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на электронной торговой площадке ООО «РТС-тендер» </w:t>
      </w:r>
      <w:hyperlink r:id="rId19" w:tooltip="https://www.lot-online.ru/" w:history="1">
        <w:r>
          <w:rPr>
            <w:sz w:val="22"/>
            <w:szCs w:val="22"/>
          </w:rPr>
          <w:t xml:space="preserve">https:</w:t>
        </w:r>
        <w:r>
          <w:rPr>
            <w:sz w:val="22"/>
            <w:szCs w:val="22"/>
          </w:rPr>
          <w:t xml:space="preserve">//</w:t>
        </w:r>
        <w:r>
          <w:rPr>
            <w:sz w:val="22"/>
            <w:szCs w:val="22"/>
          </w:rPr>
          <w:t xml:space="preserve">www.rts-tender.ru</w:t>
        </w:r>
        <w:r>
          <w:rPr>
            <w:sz w:val="22"/>
            <w:szCs w:val="22"/>
          </w:rPr>
          <w:t xml:space="preserve">/</w:t>
        </w:r>
      </w:hyperlink>
      <w:r>
        <w:rPr>
          <w:sz w:val="22"/>
          <w:szCs w:val="22"/>
        </w:rPr>
        <w:t xml:space="preserve">.</w:t>
      </w: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</w:p>
    <w:p>
      <w:pPr>
        <w:ind w:firstLine="709"/>
        <w:jc w:val="both"/>
        <w:tabs>
          <w:tab w:val="left" w:pos="284" w:leader="none"/>
        </w:tabs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74"/>
        <w:spacing w:before="0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74"/>
        <w:spacing w:before="0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sectPr>
      <w:headerReference w:type="default" r:id="rId9"/>
      <w:headerReference w:type="first" r:id="rId10"/>
      <w:footerReference w:type="first" r:id="rId11"/>
      <w:footnotePr/>
      <w:endnotePr/>
      <w:type w:val="nextPage"/>
      <w:pgSz w:w="11906" w:h="16838" w:orient="portrait"/>
      <w:pgMar w:top="1134" w:right="567" w:bottom="1134" w:left="1417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egoe UI">
    <w:panose1 w:val="020B0502040504020204"/>
  </w:font>
  <w:font w:name="Cambria">
    <w:panose1 w:val="02040503050406030204"/>
  </w:font>
  <w:font w:name="Times New Roman">
    <w:panose1 w:val="020206030504050203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1"/>
      <w:jc w:val="center"/>
    </w:pPr>
    <w:fldSimple w:instr="PAGE \* MERGEFORMAT">
      <w:r>
        <w:rPr>
          <w:sz w:val="16"/>
          <w:szCs w:val="16"/>
        </w:rPr>
        <w:t xml:space="preserve">1</w:t>
      </w:r>
    </w:fldSimple>
    <w:r>
      <w:rPr>
        <w:sz w:val="16"/>
        <w:szCs w:val="16"/>
      </w:rPr>
    </w:r>
    <w:r>
      <w:rPr>
        <w:sz w:val="16"/>
        <w:szCs w:val="16"/>
      </w:rPr>
    </w:r>
    <w:r/>
  </w:p>
  <w:p>
    <w:pPr>
      <w:pStyle w:val="721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94">
    <w:name w:val="Heading 1 Char"/>
    <w:basedOn w:val="871"/>
    <w:link w:val="870"/>
    <w:uiPriority w:val="9"/>
    <w:rPr>
      <w:rFonts w:ascii="Arial" w:hAnsi="Arial" w:eastAsia="Arial" w:cs="Arial"/>
      <w:sz w:val="40"/>
      <w:szCs w:val="40"/>
    </w:rPr>
  </w:style>
  <w:style w:type="paragraph" w:styleId="695">
    <w:name w:val="Heading 2"/>
    <w:basedOn w:val="869"/>
    <w:next w:val="869"/>
    <w:link w:val="69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6">
    <w:name w:val="Heading 2 Char"/>
    <w:basedOn w:val="871"/>
    <w:link w:val="695"/>
    <w:uiPriority w:val="9"/>
    <w:rPr>
      <w:rFonts w:ascii="Arial" w:hAnsi="Arial" w:eastAsia="Arial" w:cs="Arial"/>
      <w:sz w:val="34"/>
    </w:rPr>
  </w:style>
  <w:style w:type="paragraph" w:styleId="697">
    <w:name w:val="Heading 3"/>
    <w:basedOn w:val="869"/>
    <w:next w:val="869"/>
    <w:link w:val="69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8">
    <w:name w:val="Heading 3 Char"/>
    <w:basedOn w:val="871"/>
    <w:link w:val="697"/>
    <w:uiPriority w:val="9"/>
    <w:rPr>
      <w:rFonts w:ascii="Arial" w:hAnsi="Arial" w:eastAsia="Arial" w:cs="Arial"/>
      <w:sz w:val="30"/>
      <w:szCs w:val="30"/>
    </w:rPr>
  </w:style>
  <w:style w:type="paragraph" w:styleId="699">
    <w:name w:val="Heading 4"/>
    <w:basedOn w:val="869"/>
    <w:next w:val="869"/>
    <w:link w:val="70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0">
    <w:name w:val="Heading 4 Char"/>
    <w:basedOn w:val="871"/>
    <w:link w:val="699"/>
    <w:uiPriority w:val="9"/>
    <w:rPr>
      <w:rFonts w:ascii="Arial" w:hAnsi="Arial" w:eastAsia="Arial" w:cs="Arial"/>
      <w:b/>
      <w:bCs/>
      <w:sz w:val="26"/>
      <w:szCs w:val="26"/>
    </w:rPr>
  </w:style>
  <w:style w:type="paragraph" w:styleId="701">
    <w:name w:val="Heading 5"/>
    <w:basedOn w:val="869"/>
    <w:next w:val="869"/>
    <w:link w:val="70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2">
    <w:name w:val="Heading 5 Char"/>
    <w:basedOn w:val="871"/>
    <w:link w:val="701"/>
    <w:uiPriority w:val="9"/>
    <w:rPr>
      <w:rFonts w:ascii="Arial" w:hAnsi="Arial" w:eastAsia="Arial" w:cs="Arial"/>
      <w:b/>
      <w:bCs/>
      <w:sz w:val="24"/>
      <w:szCs w:val="24"/>
    </w:rPr>
  </w:style>
  <w:style w:type="paragraph" w:styleId="703">
    <w:name w:val="Heading 6"/>
    <w:basedOn w:val="869"/>
    <w:next w:val="869"/>
    <w:link w:val="70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4">
    <w:name w:val="Heading 6 Char"/>
    <w:basedOn w:val="871"/>
    <w:link w:val="703"/>
    <w:uiPriority w:val="9"/>
    <w:rPr>
      <w:rFonts w:ascii="Arial" w:hAnsi="Arial" w:eastAsia="Arial" w:cs="Arial"/>
      <w:b/>
      <w:bCs/>
      <w:sz w:val="22"/>
      <w:szCs w:val="22"/>
    </w:rPr>
  </w:style>
  <w:style w:type="paragraph" w:styleId="705">
    <w:name w:val="Heading 7"/>
    <w:basedOn w:val="869"/>
    <w:next w:val="869"/>
    <w:link w:val="70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6">
    <w:name w:val="Heading 7 Char"/>
    <w:basedOn w:val="871"/>
    <w:link w:val="70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7">
    <w:name w:val="Heading 8"/>
    <w:basedOn w:val="869"/>
    <w:next w:val="869"/>
    <w:link w:val="70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8">
    <w:name w:val="Heading 8 Char"/>
    <w:basedOn w:val="871"/>
    <w:link w:val="707"/>
    <w:uiPriority w:val="9"/>
    <w:rPr>
      <w:rFonts w:ascii="Arial" w:hAnsi="Arial" w:eastAsia="Arial" w:cs="Arial"/>
      <w:i/>
      <w:iCs/>
      <w:sz w:val="22"/>
      <w:szCs w:val="22"/>
    </w:rPr>
  </w:style>
  <w:style w:type="paragraph" w:styleId="709">
    <w:name w:val="Heading 9"/>
    <w:basedOn w:val="869"/>
    <w:next w:val="869"/>
    <w:link w:val="71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0">
    <w:name w:val="Heading 9 Char"/>
    <w:basedOn w:val="871"/>
    <w:link w:val="709"/>
    <w:uiPriority w:val="9"/>
    <w:rPr>
      <w:rFonts w:ascii="Arial" w:hAnsi="Arial" w:eastAsia="Arial" w:cs="Arial"/>
      <w:i/>
      <w:iCs/>
      <w:sz w:val="21"/>
      <w:szCs w:val="21"/>
    </w:rPr>
  </w:style>
  <w:style w:type="paragraph" w:styleId="711">
    <w:name w:val="List Paragraph"/>
    <w:basedOn w:val="869"/>
    <w:uiPriority w:val="34"/>
    <w:qFormat/>
    <w:pPr>
      <w:contextualSpacing/>
      <w:ind w:left="720"/>
    </w:pPr>
  </w:style>
  <w:style w:type="paragraph" w:styleId="712">
    <w:name w:val="No Spacing"/>
    <w:uiPriority w:val="1"/>
    <w:qFormat/>
    <w:pPr>
      <w:spacing w:before="0" w:after="0" w:line="240" w:lineRule="auto"/>
    </w:pPr>
  </w:style>
  <w:style w:type="paragraph" w:styleId="713">
    <w:name w:val="Title"/>
    <w:basedOn w:val="869"/>
    <w:next w:val="869"/>
    <w:link w:val="71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4">
    <w:name w:val="Title Char"/>
    <w:basedOn w:val="871"/>
    <w:link w:val="713"/>
    <w:uiPriority w:val="10"/>
    <w:rPr>
      <w:sz w:val="48"/>
      <w:szCs w:val="48"/>
    </w:rPr>
  </w:style>
  <w:style w:type="paragraph" w:styleId="715">
    <w:name w:val="Subtitle"/>
    <w:basedOn w:val="869"/>
    <w:next w:val="869"/>
    <w:link w:val="716"/>
    <w:uiPriority w:val="11"/>
    <w:qFormat/>
    <w:pPr>
      <w:spacing w:before="200" w:after="200"/>
    </w:pPr>
    <w:rPr>
      <w:sz w:val="24"/>
      <w:szCs w:val="24"/>
    </w:rPr>
  </w:style>
  <w:style w:type="character" w:styleId="716">
    <w:name w:val="Subtitle Char"/>
    <w:basedOn w:val="871"/>
    <w:link w:val="715"/>
    <w:uiPriority w:val="11"/>
    <w:rPr>
      <w:sz w:val="24"/>
      <w:szCs w:val="24"/>
    </w:rPr>
  </w:style>
  <w:style w:type="paragraph" w:styleId="717">
    <w:name w:val="Quote"/>
    <w:basedOn w:val="869"/>
    <w:next w:val="869"/>
    <w:link w:val="718"/>
    <w:uiPriority w:val="29"/>
    <w:qFormat/>
    <w:pPr>
      <w:ind w:left="720" w:right="720"/>
    </w:pPr>
    <w:rPr>
      <w:i/>
    </w:rPr>
  </w:style>
  <w:style w:type="character" w:styleId="718">
    <w:name w:val="Quote Char"/>
    <w:link w:val="717"/>
    <w:uiPriority w:val="29"/>
    <w:rPr>
      <w:i/>
    </w:rPr>
  </w:style>
  <w:style w:type="paragraph" w:styleId="719">
    <w:name w:val="Intense Quote"/>
    <w:basedOn w:val="869"/>
    <w:next w:val="869"/>
    <w:link w:val="72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0">
    <w:name w:val="Intense Quote Char"/>
    <w:link w:val="719"/>
    <w:uiPriority w:val="30"/>
    <w:rPr>
      <w:i/>
    </w:rPr>
  </w:style>
  <w:style w:type="paragraph" w:styleId="721">
    <w:name w:val="Header"/>
    <w:basedOn w:val="869"/>
    <w:link w:val="72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2">
    <w:name w:val="Header Char"/>
    <w:basedOn w:val="871"/>
    <w:link w:val="721"/>
    <w:uiPriority w:val="99"/>
  </w:style>
  <w:style w:type="character" w:styleId="723">
    <w:name w:val="Footer Char"/>
    <w:basedOn w:val="871"/>
    <w:link w:val="890"/>
    <w:uiPriority w:val="99"/>
  </w:style>
  <w:style w:type="paragraph" w:styleId="724">
    <w:name w:val="Caption"/>
    <w:basedOn w:val="869"/>
    <w:next w:val="86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5">
    <w:name w:val="Caption Char"/>
    <w:basedOn w:val="724"/>
    <w:link w:val="890"/>
    <w:uiPriority w:val="99"/>
  </w:style>
  <w:style w:type="table" w:styleId="726">
    <w:name w:val="Table Grid"/>
    <w:basedOn w:val="87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7">
    <w:name w:val="Table Grid Light"/>
    <w:basedOn w:val="87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8">
    <w:name w:val="Plain Table 1"/>
    <w:basedOn w:val="87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9">
    <w:name w:val="Plain Table 2"/>
    <w:basedOn w:val="87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0">
    <w:name w:val="Plain Table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1">
    <w:name w:val="Plain Table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Plain Table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3">
    <w:name w:val="Grid Table 1 Light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4"/>
    <w:basedOn w:val="8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5">
    <w:name w:val="Grid Table 4 - Accent 1"/>
    <w:basedOn w:val="8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6">
    <w:name w:val="Grid Table 4 - Accent 2"/>
    <w:basedOn w:val="8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7">
    <w:name w:val="Grid Table 4 - Accent 3"/>
    <w:basedOn w:val="8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8">
    <w:name w:val="Grid Table 4 - Accent 4"/>
    <w:basedOn w:val="8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9">
    <w:name w:val="Grid Table 4 - Accent 5"/>
    <w:basedOn w:val="8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0">
    <w:name w:val="Grid Table 4 - Accent 6"/>
    <w:basedOn w:val="8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1">
    <w:name w:val="Grid Table 5 Dark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2">
    <w:name w:val="Grid Table 5 Dark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8">
    <w:name w:val="Grid Table 6 Colorful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9">
    <w:name w:val="Grid Table 6 Colorful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0">
    <w:name w:val="Grid Table 6 Colorful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1">
    <w:name w:val="Grid Table 6 Colorful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2">
    <w:name w:val="Grid Table 6 Colorful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3">
    <w:name w:val="Grid Table 6 Colorful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4">
    <w:name w:val="Grid Table 6 Colorful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5">
    <w:name w:val="Grid Table 7 Colorful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0">
    <w:name w:val="List Table 2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1">
    <w:name w:val="List Table 2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2">
    <w:name w:val="List Table 2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3">
    <w:name w:val="List Table 2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4">
    <w:name w:val="List Table 2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5">
    <w:name w:val="List Table 2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6">
    <w:name w:val="List Table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5 Dark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6 Colorful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8">
    <w:name w:val="List Table 6 Colorful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9">
    <w:name w:val="List Table 6 Colorful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0">
    <w:name w:val="List Table 6 Colorful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1">
    <w:name w:val="List Table 6 Colorful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2">
    <w:name w:val="List Table 6 Colorful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3">
    <w:name w:val="List Table 6 Colorful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4">
    <w:name w:val="List Table 7 Colorful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5">
    <w:name w:val="List Table 7 Colorful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6">
    <w:name w:val="List Table 7 Colorful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7">
    <w:name w:val="List Table 7 Colorful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8">
    <w:name w:val="List Table 7 Colorful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9">
    <w:name w:val="List Table 7 Colorful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0">
    <w:name w:val="List Table 7 Colorful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1">
    <w:name w:val="Lined - Accent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2">
    <w:name w:val="Lined - Accent 1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3">
    <w:name w:val="Lined - Accent 2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4">
    <w:name w:val="Lined - Accent 3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5">
    <w:name w:val="Lined - Accent 4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6">
    <w:name w:val="Lined - Accent 5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7">
    <w:name w:val="Lined - Accent 6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8">
    <w:name w:val="Bordered &amp; Lined - Accent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9">
    <w:name w:val="Bordered &amp; Lined - Accent 1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0">
    <w:name w:val="Bordered &amp; Lined - Accent 2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1">
    <w:name w:val="Bordered &amp; Lined - Accent 3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2">
    <w:name w:val="Bordered &amp; Lined - Accent 4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3">
    <w:name w:val="Bordered &amp; Lined - Accent 5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4">
    <w:name w:val="Bordered &amp; Lined - Accent 6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5">
    <w:name w:val="Bordered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6">
    <w:name w:val="Bordered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7">
    <w:name w:val="Bordered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8">
    <w:name w:val="Bordered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9">
    <w:name w:val="Bordered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0">
    <w:name w:val="Bordered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1">
    <w:name w:val="Bordered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52">
    <w:name w:val="footnote text"/>
    <w:basedOn w:val="869"/>
    <w:link w:val="853"/>
    <w:uiPriority w:val="99"/>
    <w:semiHidden/>
    <w:unhideWhenUsed/>
    <w:pPr>
      <w:spacing w:after="40" w:line="240" w:lineRule="auto"/>
    </w:pPr>
    <w:rPr>
      <w:sz w:val="18"/>
    </w:rPr>
  </w:style>
  <w:style w:type="character" w:styleId="853">
    <w:name w:val="Footnote Text Char"/>
    <w:link w:val="852"/>
    <w:uiPriority w:val="99"/>
    <w:rPr>
      <w:sz w:val="18"/>
    </w:rPr>
  </w:style>
  <w:style w:type="character" w:styleId="854">
    <w:name w:val="footnote reference"/>
    <w:basedOn w:val="871"/>
    <w:uiPriority w:val="99"/>
    <w:unhideWhenUsed/>
    <w:rPr>
      <w:vertAlign w:val="superscript"/>
    </w:rPr>
  </w:style>
  <w:style w:type="paragraph" w:styleId="855">
    <w:name w:val="endnote text"/>
    <w:basedOn w:val="869"/>
    <w:link w:val="856"/>
    <w:uiPriority w:val="99"/>
    <w:semiHidden/>
    <w:unhideWhenUsed/>
    <w:pPr>
      <w:spacing w:after="0" w:line="240" w:lineRule="auto"/>
    </w:pPr>
    <w:rPr>
      <w:sz w:val="20"/>
    </w:rPr>
  </w:style>
  <w:style w:type="character" w:styleId="856">
    <w:name w:val="Endnote Text Char"/>
    <w:link w:val="855"/>
    <w:uiPriority w:val="99"/>
    <w:rPr>
      <w:sz w:val="20"/>
    </w:rPr>
  </w:style>
  <w:style w:type="character" w:styleId="857">
    <w:name w:val="endnote reference"/>
    <w:basedOn w:val="871"/>
    <w:uiPriority w:val="99"/>
    <w:semiHidden/>
    <w:unhideWhenUsed/>
    <w:rPr>
      <w:vertAlign w:val="superscript"/>
    </w:rPr>
  </w:style>
  <w:style w:type="paragraph" w:styleId="858">
    <w:name w:val="toc 1"/>
    <w:basedOn w:val="869"/>
    <w:next w:val="869"/>
    <w:uiPriority w:val="39"/>
    <w:unhideWhenUsed/>
    <w:pPr>
      <w:ind w:left="0" w:right="0" w:firstLine="0"/>
      <w:spacing w:after="57"/>
    </w:pPr>
  </w:style>
  <w:style w:type="paragraph" w:styleId="859">
    <w:name w:val="toc 2"/>
    <w:basedOn w:val="869"/>
    <w:next w:val="869"/>
    <w:uiPriority w:val="39"/>
    <w:unhideWhenUsed/>
    <w:pPr>
      <w:ind w:left="283" w:right="0" w:firstLine="0"/>
      <w:spacing w:after="57"/>
    </w:pPr>
  </w:style>
  <w:style w:type="paragraph" w:styleId="860">
    <w:name w:val="toc 3"/>
    <w:basedOn w:val="869"/>
    <w:next w:val="869"/>
    <w:uiPriority w:val="39"/>
    <w:unhideWhenUsed/>
    <w:pPr>
      <w:ind w:left="567" w:right="0" w:firstLine="0"/>
      <w:spacing w:after="57"/>
    </w:pPr>
  </w:style>
  <w:style w:type="paragraph" w:styleId="861">
    <w:name w:val="toc 4"/>
    <w:basedOn w:val="869"/>
    <w:next w:val="869"/>
    <w:uiPriority w:val="39"/>
    <w:unhideWhenUsed/>
    <w:pPr>
      <w:ind w:left="850" w:right="0" w:firstLine="0"/>
      <w:spacing w:after="57"/>
    </w:pPr>
  </w:style>
  <w:style w:type="paragraph" w:styleId="862">
    <w:name w:val="toc 5"/>
    <w:basedOn w:val="869"/>
    <w:next w:val="869"/>
    <w:uiPriority w:val="39"/>
    <w:unhideWhenUsed/>
    <w:pPr>
      <w:ind w:left="1134" w:right="0" w:firstLine="0"/>
      <w:spacing w:after="57"/>
    </w:pPr>
  </w:style>
  <w:style w:type="paragraph" w:styleId="863">
    <w:name w:val="toc 6"/>
    <w:basedOn w:val="869"/>
    <w:next w:val="869"/>
    <w:uiPriority w:val="39"/>
    <w:unhideWhenUsed/>
    <w:pPr>
      <w:ind w:left="1417" w:right="0" w:firstLine="0"/>
      <w:spacing w:after="57"/>
    </w:pPr>
  </w:style>
  <w:style w:type="paragraph" w:styleId="864">
    <w:name w:val="toc 7"/>
    <w:basedOn w:val="869"/>
    <w:next w:val="869"/>
    <w:uiPriority w:val="39"/>
    <w:unhideWhenUsed/>
    <w:pPr>
      <w:ind w:left="1701" w:right="0" w:firstLine="0"/>
      <w:spacing w:after="57"/>
    </w:pPr>
  </w:style>
  <w:style w:type="paragraph" w:styleId="865">
    <w:name w:val="toc 8"/>
    <w:basedOn w:val="869"/>
    <w:next w:val="869"/>
    <w:uiPriority w:val="39"/>
    <w:unhideWhenUsed/>
    <w:pPr>
      <w:ind w:left="1984" w:right="0" w:firstLine="0"/>
      <w:spacing w:after="57"/>
    </w:pPr>
  </w:style>
  <w:style w:type="paragraph" w:styleId="866">
    <w:name w:val="toc 9"/>
    <w:basedOn w:val="869"/>
    <w:next w:val="869"/>
    <w:uiPriority w:val="39"/>
    <w:unhideWhenUsed/>
    <w:pPr>
      <w:ind w:left="2268" w:right="0" w:firstLine="0"/>
      <w:spacing w:after="57"/>
    </w:pPr>
  </w:style>
  <w:style w:type="paragraph" w:styleId="867">
    <w:name w:val="TOC Heading"/>
    <w:uiPriority w:val="39"/>
    <w:unhideWhenUsed/>
  </w:style>
  <w:style w:type="paragraph" w:styleId="868">
    <w:name w:val="table of figures"/>
    <w:basedOn w:val="869"/>
    <w:next w:val="869"/>
    <w:uiPriority w:val="99"/>
    <w:unhideWhenUsed/>
    <w:pPr>
      <w:spacing w:after="0" w:afterAutospacing="0"/>
    </w:pPr>
  </w:style>
  <w:style w:type="paragraph" w:styleId="869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870">
    <w:name w:val="Heading 1"/>
    <w:basedOn w:val="869"/>
    <w:next w:val="869"/>
    <w:link w:val="879"/>
    <w:uiPriority w:val="99"/>
    <w:qFormat/>
    <w:pPr>
      <w:keepLines/>
      <w:keepNext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styleId="871" w:default="1">
    <w:name w:val="Default Paragraph Font"/>
    <w:uiPriority w:val="1"/>
    <w:semiHidden/>
    <w:unhideWhenUsed/>
  </w:style>
  <w:style w:type="table" w:styleId="87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3" w:default="1">
    <w:name w:val="No List"/>
    <w:uiPriority w:val="99"/>
    <w:semiHidden/>
    <w:unhideWhenUsed/>
  </w:style>
  <w:style w:type="paragraph" w:styleId="874" w:customStyle="1">
    <w:name w:val="стандарт1"/>
    <w:basedOn w:val="875"/>
    <w:pPr>
      <w:ind w:left="0" w:firstLine="709"/>
      <w:jc w:val="both"/>
      <w:spacing w:before="120"/>
    </w:pPr>
    <w:rPr>
      <w:sz w:val="28"/>
    </w:rPr>
  </w:style>
  <w:style w:type="paragraph" w:styleId="875">
    <w:name w:val="Normal Indent"/>
    <w:basedOn w:val="869"/>
    <w:uiPriority w:val="99"/>
    <w:semiHidden/>
    <w:unhideWhenUsed/>
    <w:pPr>
      <w:ind w:left="708"/>
    </w:pPr>
  </w:style>
  <w:style w:type="paragraph" w:styleId="876">
    <w:name w:val="Body Text Indent"/>
    <w:basedOn w:val="869"/>
    <w:link w:val="877"/>
    <w:uiPriority w:val="99"/>
    <w:pPr>
      <w:ind w:left="720" w:firstLine="131"/>
      <w:jc w:val="both"/>
      <w:spacing w:line="360" w:lineRule="auto"/>
    </w:pPr>
    <w:rPr>
      <w:sz w:val="24"/>
    </w:rPr>
  </w:style>
  <w:style w:type="character" w:styleId="877" w:customStyle="1">
    <w:name w:val="Основной текст с отступом Знак"/>
    <w:basedOn w:val="871"/>
    <w:link w:val="876"/>
    <w:uiPriority w:val="99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styleId="878">
    <w:name w:val="Hyperlink"/>
    <w:basedOn w:val="871"/>
    <w:uiPriority w:val="99"/>
    <w:unhideWhenUsed/>
    <w:rPr>
      <w:color w:val="0000ff"/>
      <w:u w:val="single"/>
    </w:rPr>
  </w:style>
  <w:style w:type="character" w:styleId="879" w:customStyle="1">
    <w:name w:val="Заголовок 1 Знак"/>
    <w:basedOn w:val="871"/>
    <w:link w:val="870"/>
    <w:uiPriority w:val="99"/>
    <w:rPr>
      <w:rFonts w:ascii="Cambria" w:hAnsi="Cambria" w:eastAsia="Times New Roman" w:cs="Times New Roman"/>
      <w:b/>
      <w:bCs/>
      <w:color w:val="365f91"/>
      <w:sz w:val="28"/>
      <w:szCs w:val="28"/>
      <w:lang w:eastAsia="ru-RU"/>
    </w:rPr>
  </w:style>
  <w:style w:type="character" w:styleId="880">
    <w:name w:val="annotation reference"/>
    <w:basedOn w:val="871"/>
    <w:uiPriority w:val="99"/>
    <w:semiHidden/>
    <w:unhideWhenUsed/>
    <w:rPr>
      <w:sz w:val="16"/>
      <w:szCs w:val="16"/>
    </w:rPr>
  </w:style>
  <w:style w:type="paragraph" w:styleId="881">
    <w:name w:val="annotation text"/>
    <w:basedOn w:val="869"/>
    <w:link w:val="882"/>
    <w:uiPriority w:val="99"/>
    <w:semiHidden/>
    <w:unhideWhenUsed/>
  </w:style>
  <w:style w:type="character" w:styleId="882" w:customStyle="1">
    <w:name w:val="Текст примечания Знак"/>
    <w:basedOn w:val="871"/>
    <w:link w:val="881"/>
    <w:uiPriority w:val="99"/>
    <w:semiHidden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883">
    <w:name w:val="annotation subject"/>
    <w:basedOn w:val="881"/>
    <w:next w:val="881"/>
    <w:link w:val="884"/>
    <w:uiPriority w:val="99"/>
    <w:semiHidden/>
    <w:unhideWhenUsed/>
    <w:rPr>
      <w:b/>
      <w:bCs/>
    </w:rPr>
  </w:style>
  <w:style w:type="character" w:styleId="884" w:customStyle="1">
    <w:name w:val="Тема примечания Знак"/>
    <w:basedOn w:val="882"/>
    <w:link w:val="883"/>
    <w:uiPriority w:val="99"/>
    <w:semiHidden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paragraph" w:styleId="885">
    <w:name w:val="Balloon Text"/>
    <w:basedOn w:val="869"/>
    <w:link w:val="886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886" w:customStyle="1">
    <w:name w:val="Текст выноски Знак"/>
    <w:basedOn w:val="871"/>
    <w:link w:val="885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paragraph" w:styleId="887">
    <w:name w:val="Body Text"/>
    <w:basedOn w:val="869"/>
    <w:link w:val="888"/>
    <w:uiPriority w:val="99"/>
    <w:semiHidden/>
    <w:unhideWhenUsed/>
    <w:pPr>
      <w:spacing w:after="120"/>
    </w:pPr>
  </w:style>
  <w:style w:type="character" w:styleId="888" w:customStyle="1">
    <w:name w:val="Основной текст Знак"/>
    <w:basedOn w:val="871"/>
    <w:link w:val="887"/>
    <w:uiPriority w:val="99"/>
    <w:semiHidden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889" w:customStyle="1">
    <w:name w:val="Вадькин нормальный"/>
    <w:basedOn w:val="869"/>
    <w:pPr>
      <w:jc w:val="both"/>
    </w:pPr>
  </w:style>
  <w:style w:type="paragraph" w:styleId="890">
    <w:name w:val="Footer"/>
    <w:basedOn w:val="869"/>
    <w:link w:val="891"/>
    <w:pPr>
      <w:tabs>
        <w:tab w:val="center" w:pos="4677" w:leader="none"/>
        <w:tab w:val="right" w:pos="9355" w:leader="none"/>
      </w:tabs>
    </w:pPr>
  </w:style>
  <w:style w:type="character" w:styleId="891" w:customStyle="1">
    <w:name w:val="Нижний колонтитул Знак"/>
    <w:basedOn w:val="871"/>
    <w:link w:val="890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892">
    <w:name w:val="FollowedHyperlink"/>
    <w:basedOn w:val="871"/>
    <w:uiPriority w:val="99"/>
    <w:semiHidden/>
    <w:unhideWhenUsed/>
    <w:rPr>
      <w:color w:val="800080" w:themeColor="followedHyperlink"/>
      <w:u w:val="single"/>
    </w:rPr>
  </w:style>
  <w:style w:type="paragraph" w:styleId="893" w:customStyle="1">
    <w:name w:val="Body Text Indent 2"/>
    <w:pPr>
      <w:contextualSpacing w:val="0"/>
      <w:ind w:left="0" w:right="0" w:firstLine="709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94" w:customStyle="1">
    <w:name w:val="Body Text Indent 3"/>
    <w:pPr>
      <w:contextualSpacing w:val="0"/>
      <w:ind w:left="0" w:right="0" w:firstLine="708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95" w:customStyle="1">
    <w:name w:val="Нижний колонтитул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tabs>
        <w:tab w:val="center" w:pos="4153" w:leader="none"/>
        <w:tab w:val="right" w:pos="8306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8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customXml" Target="../customXml/item1.xml" /><Relationship Id="rId13" Type="http://schemas.openxmlformats.org/officeDocument/2006/relationships/hyperlink" Target="http://www.rts-tender.ru" TargetMode="External"/><Relationship Id="rId14" Type="http://schemas.openxmlformats.org/officeDocument/2006/relationships/hyperlink" Target="http://www.rts-tender.ru" TargetMode="External"/><Relationship Id="rId15" Type="http://schemas.openxmlformats.org/officeDocument/2006/relationships/hyperlink" Target="https://www.lot-online.ru/" TargetMode="External"/><Relationship Id="rId16" Type="http://schemas.openxmlformats.org/officeDocument/2006/relationships/hyperlink" Target="http://dizo.nso.ru" TargetMode="External"/><Relationship Id="rId17" Type="http://schemas.openxmlformats.org/officeDocument/2006/relationships/hyperlink" Target="http://www.rts-tender.ru" TargetMode="External"/><Relationship Id="rId18" Type="http://schemas.openxmlformats.org/officeDocument/2006/relationships/hyperlink" Target="http://boaal@nso.ru" TargetMode="External"/><Relationship Id="rId19" Type="http://schemas.openxmlformats.org/officeDocument/2006/relationships/hyperlink" Target="https://www.lot-online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2CA011-8996-4942-9C04-549F5B4BC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EGatickaja</dc:creator>
  <cp:revision>25</cp:revision>
  <dcterms:created xsi:type="dcterms:W3CDTF">2023-06-13T05:09:00Z</dcterms:created>
  <dcterms:modified xsi:type="dcterms:W3CDTF">2025-06-05T08:26:39Z</dcterms:modified>
</cp:coreProperties>
</file>