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Тогучинский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район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Новомотково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35101,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35102,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35103</w:t>
      </w:r>
    </w:p>
    <w:p>
      <w:pPr>
        <w:spacing w:after="0" w:line="240" w:lineRule="auto"/>
        <w:ind w:left="75" w:right="7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(Иные сведения, позволяющие определить местоположение территории, на которой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выполняются комплексные кадастровые работы)</w:t>
      </w:r>
    </w:p>
    <w:p>
      <w:pPr>
        <w:spacing w:after="0" w:line="240" w:lineRule="auto"/>
        <w:ind w:left="75" w:right="7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Боровушка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35901,</w:t>
      </w:r>
      <w:r>
        <w:rPr>
          <w:sz w:val="16"/>
          <w:szCs w:val="16"/>
        </w:rPr>
        <w:t xml:space="preserve">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35902</w:t>
      </w:r>
      <w:r>
        <w:rPr>
          <w:sz w:val="16"/>
          <w:szCs w:val="16"/>
        </w:rPr>
        <w:t xml:space="preserve"> 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(Иные сведения, позволяющие определить местоположение территории, на которой выполняются комплексные кадастровые работы)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Чемское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042905,</w:t>
      </w:r>
      <w:r>
        <w:rPr>
          <w:sz w:val="16"/>
          <w:szCs w:val="16"/>
        </w:rPr>
        <w:t xml:space="preserve">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042906,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042907,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042908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(Иные сведения, позволяющие определить местоположение территории, на которой выполняются комплексные кадастровые работы)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Изынский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043301</w:t>
      </w:r>
      <w:r>
        <w:rPr>
          <w:b/>
        </w:rPr>
        <w:t xml:space="preserve">,</w:t>
      </w:r>
      <w:r>
        <w:rPr>
          <w:sz w:val="16"/>
          <w:szCs w:val="16"/>
        </w:rPr>
        <w:t xml:space="preserve">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043302</w:t>
      </w:r>
      <w:r>
        <w:rPr>
          <w:b/>
        </w:rPr>
        <w:t xml:space="preserve">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043303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(Иные сведения, позволяющие определить местоположение территории, на которой выполняются комплексные кадастровые работы)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№ 321-20-2025-002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заключенным между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Федеральной службой государственной регистрации, кадастра и картографии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ППК 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комплексные кадастровые работы.</w:t>
      </w:r>
    </w:p>
    <w:p>
      <w:pPr>
        <w:spacing w:after="0" w:line="240" w:lineRule="auto"/>
        <w:ind w:left="75" w:right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Тогучинский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район,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 Тогучин, улица Садовая, 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(Адрес работы согласительной комиссии)</w:t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на официальных сайтах в информационно-телекоммуникационной сети "Интернет":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8" w:history="1">
        <w:r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 xml:space="preserve">https://dizo.nso.ru/</w:t>
        </w:r>
      </w:hyperlink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rosim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Тгучинского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района Новосибирской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области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https://</w:t>
      </w:r>
      <w:hyperlink r:id="rId9" w:history="1" w:tgtFrame="_blank">
        <w:r>
          <w:rPr>
            <w:rStyle w:val="af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toguchin.nso.ru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/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по Новосибирской области https://rosreestr.ru/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</w:t>
      </w:r>
      <w:r>
        <w:t xml:space="preserve">кварталов): </w:t>
      </w:r>
      <w:r>
        <w:rPr>
          <w:b/>
        </w:rPr>
        <w:t xml:space="preserve">54</w:t>
      </w:r>
      <w:r>
        <w:rPr>
          <w:b/>
        </w:rPr>
        <w:t xml:space="preserve">:</w:t>
      </w:r>
      <w:r>
        <w:rPr>
          <w:b/>
        </w:rPr>
        <w:t xml:space="preserve">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35101,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35102,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35103,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35901,</w:t>
      </w:r>
      <w:r>
        <w:rPr>
          <w:sz w:val="16"/>
          <w:szCs w:val="16"/>
        </w:rPr>
        <w:t xml:space="preserve">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:0</w:t>
      </w:r>
      <w:r>
        <w:rPr>
          <w:b/>
        </w:rPr>
        <w:t xml:space="preserve">35902,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042905,</w:t>
      </w:r>
      <w:r>
        <w:rPr>
          <w:sz w:val="16"/>
          <w:szCs w:val="16"/>
        </w:rPr>
        <w:t xml:space="preserve">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042906,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042907,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042908,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043301,</w:t>
      </w:r>
      <w:r>
        <w:rPr>
          <w:sz w:val="16"/>
          <w:szCs w:val="16"/>
        </w:rPr>
        <w:t xml:space="preserve">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043302, </w:t>
      </w:r>
      <w:r>
        <w:rPr>
          <w:b/>
        </w:rPr>
        <w:t xml:space="preserve">54:2</w:t>
      </w:r>
      <w:r>
        <w:rPr>
          <w:b/>
        </w:rPr>
        <w:t xml:space="preserve">4</w:t>
      </w:r>
      <w:r>
        <w:rPr>
          <w:b/>
        </w:rPr>
        <w:t xml:space="preserve">:</w:t>
      </w:r>
      <w:r>
        <w:rPr>
          <w:b/>
        </w:rPr>
        <w:t xml:space="preserve">043303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состоится по адресу: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Тогучинский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район,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 Тогучин, </w:t>
      </w: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лица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Садовая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9</w:t>
      </w:r>
    </w:p>
    <w:p>
      <w:pPr>
        <w:spacing w:after="0" w:line="240" w:lineRule="auto"/>
        <w:ind w:left="75" w:right="75"/>
        <w:jc w:val="center"/>
        <w:rPr>
          <w:b/>
          <w:bCs/>
        </w:rPr>
      </w:pPr>
    </w:p>
    <w:p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августа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по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и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г. по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октября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г.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Возражения оформляются в соответствии с </w:t>
      </w:r>
      <w:hyperlink r:id="rId10" w:tooltip="https://base.garant.ru/12154874/09b49a6c83ffcd64d6ad8d2e4a1483df/#block_149" w:anchor="block_14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 15 статьи 42.10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>
      <w:pPr>
        <w:spacing w:before="75" w:after="75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отсутствия таких возражений местоположение границ земельных участков считается согласованным</w:t>
      </w:r>
    </w:p>
    <w:p>
      <w:pPr>
        <w:spacing w:before="75" w:after="75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75" w:after="75" w:line="240" w:lineRule="auto"/>
        <w:ind w:left="75" w:right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Heading1" w:customStyle="1">
    <w:name w:val="Heading 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Heading1"/>
    <w:uiPriority w:val="9"/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Heading2Char" w:customStyle="1">
    <w:name w:val="Heading 2 Char"/>
    <w:basedOn w:val="a0"/>
    <w:link w:val="Heading2"/>
    <w:uiPriority w:val="9"/>
    <w:rPr>
      <w:rFonts w:ascii="Arial" w:hAnsi="Arial" w:eastAsia="Arial" w:cs="Arial"/>
      <w:sz w:val="34"/>
    </w:rPr>
  </w:style>
  <w:style w:type="paragraph" w:styleId="Heading3" w:customStyle="1">
    <w:name w:val="Heading 3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Heading3"/>
    <w:uiPriority w:val="9"/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Heading5Char" w:customStyle="1">
    <w:name w:val="Heading 5 Char"/>
    <w:basedOn w:val="a0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Heading6Char" w:customStyle="1">
    <w:name w:val="Heading 6 Char"/>
    <w:basedOn w:val="a0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Heading7Char" w:customStyle="1">
    <w:name w:val="Heading 7 Char"/>
    <w:basedOn w:val="a0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Heading8Char" w:customStyle="1">
    <w:name w:val="Heading 8 Char"/>
    <w:basedOn w:val="a0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styleId="20" w:customStyle="1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Header" w:customStyle="1">
    <w:name w:val="Header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HeaderChar" w:customStyle="1">
    <w:name w:val="Header Char"/>
    <w:basedOn w:val="a0"/>
    <w:link w:val="Header"/>
    <w:uiPriority w:val="99"/>
  </w:style>
  <w:style w:type="paragraph" w:styleId="Footer" w:customStyle="1">
    <w:name w:val="Footer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link w:val="Footer"/>
    <w:uiPriority w:val="99"/>
  </w:style>
  <w:style w:type="paragraph" w:styleId="Caption" w:customStyle="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link w:val="Foote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tcPr>
        <w:shd w:val="clear" w:color="f2f2f2" w:themeColor="text1" w:themeTint="00" w:fill="f2f2f2" w:themeFill="text1" w:themeFillTint="00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s1" w:customStyle="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6" w:customStyle="1">
    <w:name w:val="Текст примечания Знак"/>
    <w:basedOn w:val="a0"/>
    <w:link w:val="af5"/>
    <w:uiPriority w:val="99"/>
    <w:semiHidden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styleId="af8" w:customStyle="1">
    <w:name w:val="Тема примечания Знак"/>
    <w:basedOn w:val="af6"/>
    <w:link w:val="af7"/>
    <w:uiPriority w:val="99"/>
    <w:semiHidden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a" w:customStyle="1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zo.nso.ru/" TargetMode="External"/><Relationship Id="rId9" Type="http://schemas.openxmlformats.org/officeDocument/2006/relationships/hyperlink" Target="https://www.bis077.ru/go/external/site/toguchin.nso.ru/id_company/419630" TargetMode="External"/><Relationship Id="rId10" Type="http://schemas.openxmlformats.org/officeDocument/2006/relationships/hyperlink" Target="https://base.garant.ru/12154874/09b49a6c83ffcd64d6ad8d2e4a1483d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4301</Characters>
  <CharactersWithSpaces>5045</CharactersWithSpaces>
  <Company>Microsoft</Company>
  <DocSecurity>0</DocSecurity>
  <HyperlinksChanged>false</HyperlinksChanged>
  <Lines>35</Lines>
  <LinksUpToDate>false</LinksUpToDate>
  <Pages>2</Pages>
  <Paragraphs>10</Paragraphs>
  <ScaleCrop>false</ScaleCrop>
  <SharedDoc>false</SharedDoc>
  <Template>Normal</Template>
  <TotalTime>178</TotalTime>
  <Words>754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64</cp:revision>
  <dcterms:created xsi:type="dcterms:W3CDTF">2025-04-03T04:40:00Z</dcterms:created>
  <dcterms:modified xsi:type="dcterms:W3CDTF">2025-07-29T10:13:00Z</dcterms:modified>
</cp:coreProperties>
</file>