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70" w:rsidRDefault="009E7D70" w:rsidP="009E7D70">
      <w:pPr>
        <w:pStyle w:val="33"/>
        <w:ind w:left="6946" w:right="0" w:firstLine="0"/>
        <w:jc w:val="left"/>
        <w:rPr>
          <w:sz w:val="26"/>
          <w:szCs w:val="26"/>
        </w:rPr>
      </w:pPr>
    </w:p>
    <w:p w:rsidR="009E7D70" w:rsidRDefault="009E7D70" w:rsidP="009E7D70">
      <w:pPr>
        <w:pStyle w:val="33"/>
        <w:ind w:left="6946" w:right="0" w:firstLine="0"/>
        <w:jc w:val="left"/>
        <w:rPr>
          <w:sz w:val="26"/>
          <w:szCs w:val="26"/>
        </w:rPr>
      </w:pPr>
    </w:p>
    <w:p w:rsidR="009E7D70" w:rsidRDefault="009E7D70" w:rsidP="009E7D70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 о проведении аукциона в электронной форме</w:t>
      </w:r>
    </w:p>
    <w:p w:rsidR="009E7D70" w:rsidRDefault="009E7D70" w:rsidP="009E7D70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продаже земельного участка</w:t>
      </w:r>
    </w:p>
    <w:p w:rsidR="009E7D70" w:rsidRDefault="009E7D70" w:rsidP="009E7D70">
      <w:pPr>
        <w:ind w:firstLine="709"/>
        <w:jc w:val="center"/>
        <w:rPr>
          <w:b/>
          <w:sz w:val="26"/>
          <w:szCs w:val="26"/>
        </w:rPr>
      </w:pPr>
    </w:p>
    <w:p w:rsidR="009E7D70" w:rsidRDefault="009E7D70" w:rsidP="009E7D70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rStyle w:val="af3"/>
          <w:sz w:val="26"/>
          <w:szCs w:val="26"/>
        </w:rPr>
        <w:t>Организатор аукциона в электронной форме: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>
        <w:t xml:space="preserve"> </w:t>
      </w:r>
      <w:r>
        <w:rPr>
          <w:sz w:val="26"/>
          <w:szCs w:val="26"/>
        </w:rPr>
        <w:t>630007, город Новосибирск, Красный проспект, дом 18,</w:t>
      </w:r>
      <w:r>
        <w:t xml:space="preserve"> </w:t>
      </w:r>
      <w:r>
        <w:rPr>
          <w:sz w:val="26"/>
          <w:szCs w:val="26"/>
        </w:rPr>
        <w:t xml:space="preserve">адрес сайта: </w:t>
      </w:r>
      <w:hyperlink r:id="rId8" w:tooltip="http://dizo.nso.ru" w:history="1">
        <w:r>
          <w:rPr>
            <w:rStyle w:val="afc"/>
            <w:sz w:val="26"/>
            <w:szCs w:val="26"/>
          </w:rPr>
          <w:t>http://dizo.nso.ru</w:t>
        </w:r>
      </w:hyperlink>
      <w:r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>
          <w:rPr>
            <w:rStyle w:val="afc"/>
            <w:sz w:val="26"/>
            <w:szCs w:val="26"/>
            <w:lang w:val="en-US"/>
          </w:rPr>
          <w:t>dgi</w:t>
        </w:r>
        <w:r>
          <w:rPr>
            <w:rStyle w:val="afc"/>
            <w:sz w:val="26"/>
            <w:szCs w:val="26"/>
          </w:rPr>
          <w:t>@nso.ru</w:t>
        </w:r>
      </w:hyperlink>
      <w:r>
        <w:rPr>
          <w:sz w:val="26"/>
          <w:szCs w:val="26"/>
        </w:rPr>
        <w:t>, телефон: +7 (383) 238-60-02.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Орган, уполномоченный на распоряжение земельным участком:</w:t>
      </w:r>
      <w:r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rStyle w:val="af3"/>
          <w:sz w:val="26"/>
          <w:szCs w:val="26"/>
        </w:rPr>
        <w:t>Реквизиты решения о проведении аукциона:</w:t>
      </w:r>
      <w:r>
        <w:rPr>
          <w:sz w:val="26"/>
          <w:szCs w:val="26"/>
        </w:rPr>
        <w:t xml:space="preserve"> приказ департамента имущества и земельных отношений Новосибирской области от 27.06.2025 №1956 «О проведении аукциона по продаже земельного участка с кадастровым номером 54:19:030301:1203».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Оператор электронной площадки: </w:t>
      </w:r>
      <w:r w:rsidRPr="009E7D70">
        <w:rPr>
          <w:rStyle w:val="af3"/>
          <w:b w:val="0"/>
          <w:sz w:val="26"/>
          <w:szCs w:val="26"/>
        </w:rPr>
        <w:t>общество с ограниченной ответственностью «РТС-тендер», местонахождения: 121151, город Москва, набережная Тараса Шевченко, дом 23А,</w:t>
      </w:r>
      <w:r w:rsidRPr="009E7D70">
        <w:rPr>
          <w:b/>
        </w:rPr>
        <w:t xml:space="preserve"> </w:t>
      </w:r>
      <w:r w:rsidRPr="009E7D70">
        <w:rPr>
          <w:rStyle w:val="af3"/>
          <w:b w:val="0"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9E7D70">
          <w:rPr>
            <w:rStyle w:val="afc"/>
            <w:b/>
            <w:sz w:val="26"/>
            <w:szCs w:val="26"/>
          </w:rPr>
          <w:t>www.rts-tender.ru</w:t>
        </w:r>
      </w:hyperlink>
      <w:r w:rsidRPr="009E7D70">
        <w:rPr>
          <w:rStyle w:val="af3"/>
          <w:b w:val="0"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9E7D70">
          <w:rPr>
            <w:rStyle w:val="afc"/>
            <w:b/>
            <w:sz w:val="26"/>
            <w:szCs w:val="26"/>
          </w:rPr>
          <w:t>iSupport@rts-tender.ru</w:t>
        </w:r>
      </w:hyperlink>
      <w:r w:rsidRPr="009E7D70">
        <w:rPr>
          <w:rStyle w:val="af3"/>
          <w:b w:val="0"/>
          <w:sz w:val="26"/>
          <w:szCs w:val="26"/>
        </w:rPr>
        <w:t>, телефон: +7 (499) 653-55-00.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Форма торгов: </w:t>
      </w:r>
      <w:r w:rsidRPr="009E7D70">
        <w:rPr>
          <w:rStyle w:val="af3"/>
          <w:b w:val="0"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rStyle w:val="af3"/>
          <w:sz w:val="26"/>
          <w:szCs w:val="26"/>
        </w:rPr>
        <w:t>Дата проведения аукциона:</w:t>
      </w:r>
      <w:r>
        <w:rPr>
          <w:sz w:val="26"/>
          <w:szCs w:val="26"/>
        </w:rPr>
        <w:t xml:space="preserve"> 11 ноября 2025 года.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Время проведения аукциона:</w:t>
      </w:r>
      <w:r>
        <w:rPr>
          <w:sz w:val="26"/>
          <w:szCs w:val="26"/>
        </w:rPr>
        <w:t xml:space="preserve"> 10:00 по местному времени.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rStyle w:val="af3"/>
          <w:sz w:val="26"/>
          <w:szCs w:val="26"/>
        </w:rPr>
        <w:t>Порядок проведения аукциона:</w:t>
      </w:r>
      <w:r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rStyle w:val="af3"/>
          <w:sz w:val="26"/>
          <w:szCs w:val="26"/>
        </w:rPr>
        <w:t>Предмет аукциона:</w:t>
      </w:r>
      <w:r>
        <w:rPr>
          <w:sz w:val="26"/>
          <w:szCs w:val="26"/>
        </w:rPr>
        <w:t xml:space="preserve"> земельный участок.</w:t>
      </w:r>
    </w:p>
    <w:p w:rsidR="009E7D70" w:rsidRDefault="009E7D70" w:rsidP="009E7D70">
      <w:pPr>
        <w:keepNext/>
        <w:ind w:firstLine="709"/>
        <w:jc w:val="center"/>
        <w:rPr>
          <w:rStyle w:val="af3"/>
          <w:sz w:val="26"/>
          <w:szCs w:val="26"/>
        </w:rPr>
      </w:pPr>
    </w:p>
    <w:p w:rsidR="009E7D70" w:rsidRDefault="009E7D70" w:rsidP="009E7D70">
      <w:pPr>
        <w:keepNext/>
        <w:ind w:firstLine="709"/>
        <w:jc w:val="center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>Лот № 1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54:19:030301:1203, площадью 1 082 кв. м, местоположение: Российская Федерация, Новосибирская область, Новосибирский район, Толмачевский сельсовет, д. Алексеевка, категория земель: земли населенных пунктов, разрешенное использование: для ведения личного подсобного хозяйства (2.2).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bCs w:val="0"/>
          <w:sz w:val="26"/>
          <w:szCs w:val="26"/>
        </w:rPr>
      </w:pPr>
      <w:r>
        <w:rPr>
          <w:rStyle w:val="af3"/>
          <w:sz w:val="26"/>
          <w:szCs w:val="26"/>
        </w:rPr>
        <w:t xml:space="preserve">Ограничение прав и обременение земельного участка: </w:t>
      </w:r>
      <w:r w:rsidRPr="009E7D70">
        <w:rPr>
          <w:rStyle w:val="af3"/>
          <w:b w:val="0"/>
          <w:sz w:val="26"/>
          <w:szCs w:val="26"/>
        </w:rPr>
        <w:t>зарегистрированные ограничения отсутствуют.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Дополнительные сведения о земельном участке: </w:t>
      </w:r>
      <w:r>
        <w:rPr>
          <w:sz w:val="26"/>
          <w:szCs w:val="26"/>
        </w:rPr>
        <w:t>не установлены.</w:t>
      </w:r>
    </w:p>
    <w:p w:rsidR="009E7D70" w:rsidRDefault="009E7D70" w:rsidP="009E7D7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>Требование к участникам аукциона: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Регистрации в ГИС Торги подлежат Претенденты, ранее не зарегистрированные</w:t>
      </w:r>
      <w:r w:rsidRPr="009E7D70">
        <w:rPr>
          <w:rStyle w:val="af3"/>
          <w:b w:val="0"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9E7D70">
        <w:rPr>
          <w:b/>
        </w:rPr>
        <w:t xml:space="preserve"> </w:t>
      </w:r>
      <w:r w:rsidRPr="009E7D70">
        <w:rPr>
          <w:rStyle w:val="af3"/>
          <w:b w:val="0"/>
          <w:sz w:val="26"/>
          <w:szCs w:val="26"/>
        </w:rPr>
        <w:t xml:space="preserve">расположен в </w:t>
      </w:r>
      <w:r w:rsidRPr="009E7D70">
        <w:rPr>
          <w:rStyle w:val="af3"/>
          <w:b w:val="0"/>
          <w:sz w:val="26"/>
          <w:szCs w:val="26"/>
        </w:rPr>
        <w:lastRenderedPageBreak/>
        <w:t>информационно-телекоммуникационной сети «Интернет»</w:t>
      </w:r>
      <w:r w:rsidRPr="009E7D70">
        <w:rPr>
          <w:b/>
        </w:rPr>
        <w:t xml:space="preserve"> </w:t>
      </w:r>
      <w:r w:rsidRPr="009E7D70">
        <w:rPr>
          <w:rStyle w:val="af3"/>
          <w:b w:val="0"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9E7D70">
          <w:rPr>
            <w:rStyle w:val="afc"/>
            <w:b/>
            <w:bCs/>
            <w:sz w:val="26"/>
            <w:szCs w:val="26"/>
          </w:rPr>
          <w:t>https://www.rts-tender.ru/platform-rules/platform-property-sales</w:t>
        </w:r>
      </w:hyperlink>
      <w:r w:rsidRPr="009E7D70">
        <w:rPr>
          <w:rStyle w:val="afc"/>
          <w:b/>
          <w:bCs/>
          <w:sz w:val="26"/>
          <w:szCs w:val="26"/>
        </w:rPr>
        <w:t xml:space="preserve"> </w:t>
      </w:r>
      <w:r w:rsidRPr="009E7D70">
        <w:rPr>
          <w:rStyle w:val="af3"/>
          <w:b w:val="0"/>
          <w:sz w:val="26"/>
          <w:szCs w:val="26"/>
        </w:rPr>
        <w:t>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>
          <w:rPr>
            <w:rStyle w:val="afc"/>
            <w:sz w:val="26"/>
            <w:szCs w:val="26"/>
          </w:rPr>
          <w:t>https://www.rts-tender.ru/tariffs/platform-property-sales-tariffs</w:t>
        </w:r>
      </w:hyperlink>
      <w:r>
        <w:rPr>
          <w:rStyle w:val="afc"/>
          <w:sz w:val="26"/>
          <w:szCs w:val="26"/>
        </w:rPr>
        <w:t xml:space="preserve"> </w:t>
      </w:r>
      <w:r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bCs w:val="0"/>
        </w:rPr>
      </w:pPr>
      <w:r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>Заключение договора</w:t>
      </w:r>
      <w:r>
        <w:t xml:space="preserve"> </w:t>
      </w:r>
      <w:r>
        <w:rPr>
          <w:rStyle w:val="af3"/>
          <w:sz w:val="26"/>
          <w:szCs w:val="26"/>
        </w:rPr>
        <w:t>в электронной форме: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9E7D70" w:rsidRP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rStyle w:val="af3"/>
          <w:sz w:val="26"/>
          <w:szCs w:val="26"/>
        </w:rPr>
        <w:t xml:space="preserve">Начальная цена предмета аукциона: </w:t>
      </w:r>
      <w:r w:rsidRPr="009E7D70">
        <w:rPr>
          <w:rStyle w:val="af3"/>
          <w:b w:val="0"/>
          <w:sz w:val="26"/>
          <w:szCs w:val="26"/>
        </w:rPr>
        <w:t>585 000 (пятьсот восемьдесят пять тысяч) рублей 00 копеек</w:t>
      </w:r>
      <w:r w:rsidRPr="009E7D70">
        <w:rPr>
          <w:b/>
          <w:sz w:val="26"/>
          <w:szCs w:val="26"/>
        </w:rPr>
        <w:t>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29 250 (двадцать девять тысяч двести пятьдесят) рублей 00 копеек.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>
        <w:rPr>
          <w:sz w:val="26"/>
          <w:szCs w:val="26"/>
        </w:rPr>
        <w:t xml:space="preserve"> в соответствии с Правилами землепользования и застройки Толмачевского сельсовета Новосибирского района Новосибирской области утвержденными приказом министерства строительства Новосибирской области 08.06.2018 № 269 (ред. от 25.08.2025):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9E7D70" w:rsidTr="00A35B53">
        <w:trPr>
          <w:tblHeader/>
        </w:trPr>
        <w:tc>
          <w:tcPr>
            <w:tcW w:w="1415" w:type="pct"/>
            <w:vMerge w:val="restart"/>
            <w:vAlign w:val="center"/>
          </w:tcPr>
          <w:p w:rsidR="009E7D70" w:rsidRDefault="009E7D70" w:rsidP="00A35B53">
            <w:pPr>
              <w:jc w:val="center"/>
            </w:pPr>
            <w:r>
              <w:t>Наименование территориальная зона/вида разрешенного</w:t>
            </w:r>
          </w:p>
          <w:p w:rsidR="009E7D70" w:rsidRDefault="009E7D70" w:rsidP="00A35B53">
            <w:pPr>
              <w:jc w:val="center"/>
            </w:pPr>
            <w:r>
              <w:t>использования (код вида)</w:t>
            </w: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9E7D70" w:rsidTr="00A35B53">
        <w:trPr>
          <w:tblHeader/>
        </w:trPr>
        <w:tc>
          <w:tcPr>
            <w:tcW w:w="1415" w:type="pct"/>
            <w:vMerge/>
            <w:vAlign w:val="center"/>
          </w:tcPr>
          <w:p w:rsidR="009E7D70" w:rsidRDefault="009E7D70" w:rsidP="00A35B53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9E7D70" w:rsidRDefault="009E7D70" w:rsidP="00A35B53">
            <w:pPr>
              <w:jc w:val="center"/>
            </w:pPr>
            <w:r>
              <w:t>Процент застройки max, (%)</w:t>
            </w:r>
          </w:p>
        </w:tc>
      </w:tr>
      <w:tr w:rsidR="009E7D70" w:rsidTr="00A35B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9E7D70" w:rsidRDefault="009E7D70" w:rsidP="00A35B53">
            <w:pPr>
              <w:pStyle w:val="Default"/>
            </w:pPr>
            <w:r>
              <w:rPr>
                <w:color w:val="auto"/>
              </w:rPr>
              <w:t xml:space="preserve">Для ведения личного подсобного хозяйства </w:t>
            </w:r>
            <w:r>
              <w:rPr>
                <w:color w:val="auto"/>
              </w:rPr>
              <w:lastRenderedPageBreak/>
              <w:t>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  <w:vertAlign w:val="superscript"/>
              </w:rPr>
            </w:pPr>
            <w:r>
              <w:rPr>
                <w:szCs w:val="32"/>
              </w:rPr>
              <w:lastRenderedPageBreak/>
              <w:t>0,08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Cs w:val="32"/>
                <w:vertAlign w:val="superscript"/>
              </w:rPr>
            </w:pPr>
            <w:r>
              <w:rPr>
                <w:szCs w:val="32"/>
              </w:rPr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7D70" w:rsidRDefault="009E7D70" w:rsidP="00A35B53">
            <w:pPr>
              <w:jc w:val="center"/>
              <w:rPr>
                <w:sz w:val="32"/>
                <w:szCs w:val="40"/>
              </w:rPr>
            </w:pPr>
            <w:r>
              <w:rPr>
                <w:szCs w:val="32"/>
              </w:rPr>
              <w:t>25</w:t>
            </w:r>
          </w:p>
        </w:tc>
      </w:tr>
    </w:tbl>
    <w:p w:rsidR="009E7D70" w:rsidRDefault="009E7D70" w:rsidP="009E7D70">
      <w:pPr>
        <w:ind w:firstLine="709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водоснабжения – возможно подключение к сетям МУП ТВК Толмачево;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водоотведения – возможность подключения отсутствует.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Сети теплоснабжения – возможность подключения отсутствует.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Газоснабжение – возможность подключения отсутствует.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Связь – подключение возможно к сетям ПАО «Ростелеком».</w:t>
      </w:r>
    </w:p>
    <w:p w:rsidR="009E7D70" w:rsidRDefault="009E7D70" w:rsidP="009E7D7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Порядок приема заявок на участие в аукционе: 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Место приема заявок на участие в аукционе: электронная площадка </w:t>
      </w:r>
      <w:r>
        <w:rPr>
          <w:color w:val="0000FF"/>
          <w:sz w:val="26"/>
          <w:szCs w:val="26"/>
        </w:rPr>
        <w:t>https://www.rts-tender.ru/property-sales</w:t>
      </w:r>
      <w:r>
        <w:rPr>
          <w:sz w:val="26"/>
          <w:szCs w:val="26"/>
        </w:rPr>
        <w:t>.</w:t>
      </w:r>
      <w:r>
        <w:rPr>
          <w:rStyle w:val="af3"/>
          <w:sz w:val="26"/>
          <w:szCs w:val="26"/>
        </w:rPr>
        <w:t xml:space="preserve"> 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Дата и время начала приема заявок: </w:t>
      </w:r>
      <w:r>
        <w:rPr>
          <w:rStyle w:val="af3"/>
          <w:b w:val="0"/>
          <w:sz w:val="26"/>
          <w:szCs w:val="26"/>
        </w:rPr>
        <w:t xml:space="preserve">18 </w:t>
      </w:r>
      <w:r w:rsidRPr="009E7D70">
        <w:rPr>
          <w:rStyle w:val="af3"/>
          <w:b w:val="0"/>
          <w:sz w:val="26"/>
          <w:szCs w:val="26"/>
        </w:rPr>
        <w:t>октября 2025 года в 00-00 по местному времени. Прием заявок осуществляется круглосуточно.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Дата и время окончания приема заявок: </w:t>
      </w:r>
      <w:r>
        <w:rPr>
          <w:rStyle w:val="af3"/>
          <w:b w:val="0"/>
          <w:sz w:val="26"/>
          <w:szCs w:val="26"/>
        </w:rPr>
        <w:t xml:space="preserve">07 </w:t>
      </w:r>
      <w:r w:rsidRPr="009E7D70">
        <w:rPr>
          <w:rStyle w:val="af3"/>
          <w:b w:val="0"/>
          <w:sz w:val="26"/>
          <w:szCs w:val="26"/>
        </w:rPr>
        <w:t>ноября 2025 года в 00-00 по местному времени.</w:t>
      </w:r>
    </w:p>
    <w:p w:rsidR="009E7D70" w:rsidRDefault="009E7D70" w:rsidP="009E7D70">
      <w:pPr>
        <w:ind w:firstLine="709"/>
        <w:jc w:val="both"/>
        <w:rPr>
          <w:rStyle w:val="af3"/>
          <w:b w:val="0"/>
          <w:sz w:val="26"/>
          <w:szCs w:val="26"/>
        </w:rPr>
      </w:pPr>
      <w:r>
        <w:rPr>
          <w:b/>
          <w:bCs/>
          <w:sz w:val="26"/>
          <w:szCs w:val="26"/>
        </w:rPr>
        <w:t xml:space="preserve">Дата </w:t>
      </w:r>
      <w:r>
        <w:rPr>
          <w:rStyle w:val="af3"/>
          <w:sz w:val="26"/>
          <w:szCs w:val="26"/>
        </w:rPr>
        <w:t xml:space="preserve">определения участников аукциона: </w:t>
      </w:r>
      <w:r>
        <w:rPr>
          <w:sz w:val="26"/>
          <w:szCs w:val="26"/>
        </w:rPr>
        <w:t>10 ноября 2025 года.</w:t>
      </w:r>
    </w:p>
    <w:p w:rsidR="009E7D70" w:rsidRDefault="009E7D70" w:rsidP="009E7D7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9E7D70" w:rsidRPr="009E7D70" w:rsidRDefault="009E7D70" w:rsidP="009E7D70">
      <w:pPr>
        <w:keepNext/>
        <w:ind w:firstLine="709"/>
        <w:jc w:val="both"/>
        <w:rPr>
          <w:rStyle w:val="af3"/>
          <w:b w:val="0"/>
          <w:sz w:val="26"/>
          <w:szCs w:val="26"/>
        </w:rPr>
      </w:pPr>
      <w:r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f3"/>
          <w:b w:val="0"/>
          <w:sz w:val="26"/>
          <w:szCs w:val="26"/>
        </w:rPr>
        <w:t>11 ноября</w:t>
      </w:r>
      <w:r>
        <w:rPr>
          <w:rStyle w:val="af3"/>
          <w:sz w:val="26"/>
          <w:szCs w:val="26"/>
        </w:rPr>
        <w:t xml:space="preserve"> </w:t>
      </w:r>
      <w:r w:rsidRPr="009E7D70">
        <w:rPr>
          <w:rStyle w:val="af3"/>
          <w:b w:val="0"/>
          <w:sz w:val="26"/>
          <w:szCs w:val="26"/>
        </w:rPr>
        <w:t xml:space="preserve">2025 года в 10:00 по местному времени электронная площадка </w:t>
      </w:r>
      <w:r w:rsidRPr="009E7D70">
        <w:rPr>
          <w:b/>
          <w:color w:val="0000FF"/>
          <w:sz w:val="26"/>
          <w:szCs w:val="26"/>
        </w:rPr>
        <w:t>https://www.rts-tender.ru/property-sales.</w:t>
      </w:r>
      <w:r w:rsidRPr="009E7D70">
        <w:rPr>
          <w:rStyle w:val="af3"/>
          <w:b w:val="0"/>
          <w:sz w:val="26"/>
          <w:szCs w:val="26"/>
        </w:rPr>
        <w:t xml:space="preserve"> </w:t>
      </w:r>
    </w:p>
    <w:p w:rsidR="009E7D70" w:rsidRPr="009E7D70" w:rsidRDefault="009E7D70" w:rsidP="009E7D70">
      <w:pPr>
        <w:keepNext/>
        <w:ind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Дата подведения итогов аукциона: </w:t>
      </w:r>
      <w:r>
        <w:rPr>
          <w:rStyle w:val="af3"/>
          <w:b w:val="0"/>
          <w:sz w:val="26"/>
          <w:szCs w:val="26"/>
        </w:rPr>
        <w:t xml:space="preserve">11 </w:t>
      </w:r>
      <w:r w:rsidRPr="009E7D70">
        <w:rPr>
          <w:rStyle w:val="af3"/>
          <w:b w:val="0"/>
          <w:sz w:val="26"/>
          <w:szCs w:val="26"/>
        </w:rPr>
        <w:t>ноября 2025 года.</w:t>
      </w:r>
    </w:p>
    <w:p w:rsidR="009E7D70" w:rsidRDefault="009E7D70" w:rsidP="009E7D70">
      <w:pPr>
        <w:keepNext/>
        <w:ind w:firstLine="709"/>
        <w:jc w:val="both"/>
        <w:outlineLvl w:val="0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 xml:space="preserve">Перечень документов, представляемых для участия в аукционе: </w:t>
      </w:r>
    </w:p>
    <w:p w:rsidR="009E7D70" w:rsidRPr="009E7D70" w:rsidRDefault="009E7D70" w:rsidP="009E7D70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E7D70" w:rsidRPr="009E7D70" w:rsidRDefault="009E7D70" w:rsidP="009E7D70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Style w:val="af3"/>
          <w:b w:val="0"/>
          <w:bCs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9E7D70" w:rsidRPr="009E7D70" w:rsidRDefault="009E7D70" w:rsidP="009E7D70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документы, подтверждающие внесение задатка.</w:t>
      </w:r>
    </w:p>
    <w:p w:rsidR="009E7D70" w:rsidRPr="009E7D70" w:rsidRDefault="009E7D70" w:rsidP="009E7D70">
      <w:pPr>
        <w:tabs>
          <w:tab w:val="left" w:pos="0"/>
        </w:tabs>
        <w:ind w:firstLine="709"/>
        <w:jc w:val="both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E7D70" w:rsidRPr="009E7D70" w:rsidRDefault="009E7D70" w:rsidP="009E7D70">
      <w:pPr>
        <w:shd w:val="clear" w:color="auto" w:fill="FFFFFF"/>
        <w:ind w:right="-22" w:firstLine="709"/>
        <w:jc w:val="both"/>
        <w:rPr>
          <w:rStyle w:val="af3"/>
          <w:b w:val="0"/>
          <w:sz w:val="26"/>
          <w:szCs w:val="26"/>
        </w:rPr>
      </w:pPr>
      <w:r>
        <w:rPr>
          <w:rStyle w:val="af3"/>
          <w:sz w:val="26"/>
          <w:szCs w:val="26"/>
        </w:rPr>
        <w:t xml:space="preserve">Размер задатка: </w:t>
      </w:r>
      <w:r w:rsidRPr="009E7D70">
        <w:rPr>
          <w:rStyle w:val="af3"/>
          <w:b w:val="0"/>
          <w:sz w:val="26"/>
          <w:szCs w:val="26"/>
        </w:rPr>
        <w:t>585 000 (пятьсот восемьдесят пять тысяч) рублей 00 копеек.</w:t>
      </w:r>
    </w:p>
    <w:p w:rsidR="009E7D70" w:rsidRDefault="009E7D70" w:rsidP="009E7D70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9E7D70" w:rsidRPr="009E7D70" w:rsidRDefault="009E7D70" w:rsidP="009E7D70">
      <w:pPr>
        <w:ind w:firstLine="709"/>
        <w:jc w:val="both"/>
        <w:outlineLvl w:val="0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 xml:space="preserve">Задаток вносится на расчетный счет организатора аукциона. </w:t>
      </w:r>
    </w:p>
    <w:p w:rsidR="009E7D70" w:rsidRPr="009E7D70" w:rsidRDefault="009E7D70" w:rsidP="009E7D70">
      <w:pPr>
        <w:ind w:firstLine="709"/>
        <w:jc w:val="both"/>
        <w:outlineLvl w:val="0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 xml:space="preserve"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</w:t>
      </w:r>
      <w:r w:rsidRPr="009E7D70">
        <w:rPr>
          <w:rStyle w:val="af3"/>
          <w:b w:val="0"/>
          <w:sz w:val="26"/>
          <w:szCs w:val="26"/>
        </w:rPr>
        <w:lastRenderedPageBreak/>
        <w:t>г.Новосибирск, БИК 015004950, р/с 40102810445370000043, л/с 03222643500000005100, ОКТМО 50701000, КБК 00000000000000000510.</w:t>
      </w:r>
    </w:p>
    <w:p w:rsidR="009E7D70" w:rsidRPr="009E7D70" w:rsidRDefault="009E7D70" w:rsidP="009E7D70">
      <w:pPr>
        <w:ind w:firstLine="709"/>
        <w:jc w:val="both"/>
        <w:outlineLvl w:val="0"/>
        <w:rPr>
          <w:rStyle w:val="af3"/>
          <w:b w:val="0"/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54:19:030301:1203.</w:t>
      </w:r>
    </w:p>
    <w:p w:rsidR="009E7D70" w:rsidRPr="007E5788" w:rsidRDefault="009E7D70" w:rsidP="009E7D70">
      <w:pPr>
        <w:ind w:firstLine="709"/>
        <w:jc w:val="both"/>
        <w:outlineLvl w:val="0"/>
        <w:rPr>
          <w:rStyle w:val="af3"/>
          <w:b w:val="0"/>
          <w:sz w:val="26"/>
          <w:szCs w:val="26"/>
        </w:rPr>
      </w:pPr>
      <w:r w:rsidRPr="007E5788">
        <w:rPr>
          <w:rStyle w:val="af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</w:t>
      </w:r>
      <w:bookmarkStart w:id="0" w:name="_GoBack"/>
      <w:bookmarkEnd w:id="0"/>
      <w:r>
        <w:rPr>
          <w:bCs/>
          <w:sz w:val="26"/>
          <w:szCs w:val="26"/>
        </w:rPr>
        <w:t>отзыва заявки заявителем позднее дня окончания срока приема заявок – в порядке, установленном для участников аукциона;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участнику, признанному победителем аукциона;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Задаток засчитывается в счет платы за земельный участок.</w:t>
      </w:r>
    </w:p>
    <w:p w:rsidR="009E7D70" w:rsidRDefault="009E7D70" w:rsidP="009E7D70">
      <w:pPr>
        <w:shd w:val="clear" w:color="auto" w:fill="FFFFFF"/>
        <w:ind w:right="-22" w:firstLine="709"/>
        <w:jc w:val="both"/>
        <w:rPr>
          <w:rStyle w:val="af3"/>
          <w:sz w:val="26"/>
          <w:szCs w:val="26"/>
        </w:rPr>
      </w:pPr>
      <w:r>
        <w:rPr>
          <w:rStyle w:val="af3"/>
          <w:sz w:val="26"/>
          <w:szCs w:val="26"/>
        </w:rPr>
        <w:t>Сведения</w:t>
      </w:r>
      <w:r>
        <w:rPr>
          <w:sz w:val="26"/>
          <w:szCs w:val="26"/>
        </w:rPr>
        <w:t xml:space="preserve"> </w:t>
      </w:r>
      <w:r>
        <w:rPr>
          <w:rStyle w:val="af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9E7D70" w:rsidRDefault="009E7D70" w:rsidP="009E7D70">
      <w:pPr>
        <w:numPr>
          <w:ilvl w:val="0"/>
          <w:numId w:val="3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цена земельного участка устанавливается по итогам аукциона;</w:t>
      </w:r>
    </w:p>
    <w:p w:rsidR="009E7D70" w:rsidRDefault="009E7D70" w:rsidP="009E7D70">
      <w:pPr>
        <w:numPr>
          <w:ilvl w:val="0"/>
          <w:numId w:val="3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9E7D70" w:rsidRDefault="009E7D70" w:rsidP="009E7D7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>
          <w:rPr>
            <w:sz w:val="26"/>
            <w:szCs w:val="26"/>
          </w:rPr>
          <w:t>пунктом 11</w:t>
        </w:r>
      </w:hyperlink>
      <w:r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9E7D70" w:rsidRDefault="009E7D70" w:rsidP="009E7D7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9E7D70" w:rsidRDefault="009E7D70" w:rsidP="009E7D70">
      <w:pPr>
        <w:ind w:firstLine="709"/>
        <w:jc w:val="both"/>
        <w:outlineLvl w:val="0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E7D70" w:rsidRDefault="009E7D70" w:rsidP="009E7D70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 xml:space="preserve">Осмотр земельного участка </w:t>
      </w:r>
      <w:r>
        <w:rPr>
          <w:bCs/>
          <w:sz w:val="26"/>
          <w:szCs w:val="26"/>
        </w:rPr>
        <w:t>заявителями осуществляется самостоятельно.</w:t>
      </w:r>
    </w:p>
    <w:p w:rsidR="009E7D70" w:rsidRPr="009E7D70" w:rsidRDefault="009E7D70" w:rsidP="009E7D70">
      <w:pPr>
        <w:ind w:firstLine="709"/>
        <w:jc w:val="both"/>
        <w:rPr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 xml:space="preserve">Информация об аукционе размещается </w:t>
      </w:r>
      <w:r w:rsidRPr="009E7D70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9E7D70">
          <w:rPr>
            <w:rStyle w:val="afc"/>
            <w:sz w:val="26"/>
            <w:szCs w:val="26"/>
            <w:lang w:val="en-US"/>
          </w:rPr>
          <w:t>www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torgi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gov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ru</w:t>
        </w:r>
      </w:hyperlink>
      <w:r w:rsidRPr="009E7D70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9E7D70" w:rsidRPr="009E7D70" w:rsidRDefault="009E7D70" w:rsidP="009E7D70">
      <w:pPr>
        <w:ind w:firstLine="709"/>
        <w:jc w:val="both"/>
        <w:rPr>
          <w:sz w:val="26"/>
          <w:szCs w:val="26"/>
        </w:rPr>
      </w:pPr>
      <w:r w:rsidRPr="009E7D70">
        <w:rPr>
          <w:rStyle w:val="af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9E7D70">
        <w:rPr>
          <w:sz w:val="26"/>
          <w:szCs w:val="26"/>
        </w:rPr>
        <w:t>департамент имущества и земельных отношений Новосибирской области</w:t>
      </w:r>
      <w:r w:rsidRPr="009E7D70">
        <w:rPr>
          <w:rStyle w:val="af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9E7D70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9E7D70">
          <w:rPr>
            <w:rStyle w:val="afc"/>
            <w:sz w:val="26"/>
            <w:szCs w:val="26"/>
            <w:lang w:val="en-US"/>
          </w:rPr>
          <w:t>www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torgi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gov</w:t>
        </w:r>
        <w:r w:rsidRPr="009E7D70">
          <w:rPr>
            <w:rStyle w:val="afc"/>
            <w:sz w:val="26"/>
            <w:szCs w:val="26"/>
          </w:rPr>
          <w:t>.</w:t>
        </w:r>
        <w:r w:rsidRPr="009E7D70">
          <w:rPr>
            <w:rStyle w:val="afc"/>
            <w:sz w:val="26"/>
            <w:szCs w:val="26"/>
            <w:lang w:val="en-US"/>
          </w:rPr>
          <w:t>ru</w:t>
        </w:r>
      </w:hyperlink>
      <w:r w:rsidRPr="009E7D70">
        <w:rPr>
          <w:sz w:val="26"/>
          <w:szCs w:val="26"/>
        </w:rPr>
        <w:t xml:space="preserve"> в течение трех дней со дня принятия данного решения.</w:t>
      </w:r>
    </w:p>
    <w:p w:rsidR="009E7D70" w:rsidRPr="009E7D70" w:rsidRDefault="009E7D70" w:rsidP="009E7D70">
      <w:pPr>
        <w:ind w:firstLine="709"/>
        <w:jc w:val="both"/>
        <w:rPr>
          <w:rStyle w:val="af3"/>
          <w:b w:val="0"/>
          <w:bCs w:val="0"/>
          <w:sz w:val="26"/>
          <w:szCs w:val="26"/>
        </w:rPr>
      </w:pPr>
      <w:r w:rsidRPr="009E7D70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9E7D70" w:rsidRDefault="009E7D70" w:rsidP="009E7D70">
      <w:pPr>
        <w:ind w:firstLine="709"/>
        <w:jc w:val="both"/>
        <w:rPr>
          <w:rStyle w:val="af3"/>
          <w:b w:val="0"/>
          <w:bCs w:val="0"/>
          <w:sz w:val="26"/>
          <w:szCs w:val="26"/>
        </w:rPr>
      </w:pPr>
    </w:p>
    <w:p w:rsidR="009E7D70" w:rsidRDefault="009E7D70" w:rsidP="009E7D70">
      <w:pPr>
        <w:ind w:firstLine="709"/>
        <w:jc w:val="both"/>
        <w:rPr>
          <w:rStyle w:val="af3"/>
          <w:b w:val="0"/>
          <w:bCs w:val="0"/>
          <w:sz w:val="26"/>
          <w:szCs w:val="26"/>
        </w:rPr>
      </w:pPr>
    </w:p>
    <w:p w:rsidR="00BD2D78" w:rsidRPr="009E7D70" w:rsidRDefault="00BD2D78" w:rsidP="009E7D70"/>
    <w:sectPr w:rsidR="00BD2D78" w:rsidRPr="009E7D70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76" w:rsidRDefault="00E23786">
      <w:r>
        <w:separator/>
      </w:r>
    </w:p>
  </w:endnote>
  <w:endnote w:type="continuationSeparator" w:id="0">
    <w:p w:rsidR="00BC5276" w:rsidRDefault="00E2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76" w:rsidRDefault="00E23786">
    <w:pPr>
      <w:pStyle w:val="af6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BC5276" w:rsidRDefault="00BC5276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276" w:rsidRDefault="00E23786">
    <w:pPr>
      <w:pStyle w:val="af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5788">
      <w:rPr>
        <w:noProof/>
      </w:rPr>
      <w:t>5</w:t>
    </w:r>
    <w:r>
      <w:fldChar w:fldCharType="end"/>
    </w:r>
  </w:p>
  <w:p w:rsidR="00BC5276" w:rsidRDefault="00BC5276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76" w:rsidRDefault="00E23786">
      <w:r>
        <w:separator/>
      </w:r>
    </w:p>
  </w:footnote>
  <w:footnote w:type="continuationSeparator" w:id="0">
    <w:p w:rsidR="00BC5276" w:rsidRDefault="00E2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0106"/>
    <w:multiLevelType w:val="hybridMultilevel"/>
    <w:tmpl w:val="E22407BC"/>
    <w:lvl w:ilvl="0" w:tplc="F94EE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DC6A16">
      <w:start w:val="1"/>
      <w:numFmt w:val="lowerLetter"/>
      <w:lvlText w:val="%2."/>
      <w:lvlJc w:val="left"/>
      <w:pPr>
        <w:ind w:left="1440" w:hanging="360"/>
      </w:pPr>
    </w:lvl>
    <w:lvl w:ilvl="2" w:tplc="6484856E">
      <w:start w:val="1"/>
      <w:numFmt w:val="lowerRoman"/>
      <w:lvlText w:val="%3."/>
      <w:lvlJc w:val="right"/>
      <w:pPr>
        <w:ind w:left="2160" w:hanging="180"/>
      </w:pPr>
    </w:lvl>
    <w:lvl w:ilvl="3" w:tplc="6A76D1B8">
      <w:start w:val="1"/>
      <w:numFmt w:val="decimal"/>
      <w:lvlText w:val="%4."/>
      <w:lvlJc w:val="left"/>
      <w:pPr>
        <w:ind w:left="2880" w:hanging="360"/>
      </w:pPr>
    </w:lvl>
    <w:lvl w:ilvl="4" w:tplc="2BF6FBF4">
      <w:start w:val="1"/>
      <w:numFmt w:val="lowerLetter"/>
      <w:lvlText w:val="%5."/>
      <w:lvlJc w:val="left"/>
      <w:pPr>
        <w:ind w:left="3600" w:hanging="360"/>
      </w:pPr>
    </w:lvl>
    <w:lvl w:ilvl="5" w:tplc="781E8414">
      <w:start w:val="1"/>
      <w:numFmt w:val="lowerRoman"/>
      <w:lvlText w:val="%6."/>
      <w:lvlJc w:val="right"/>
      <w:pPr>
        <w:ind w:left="4320" w:hanging="180"/>
      </w:pPr>
    </w:lvl>
    <w:lvl w:ilvl="6" w:tplc="9014FB24">
      <w:start w:val="1"/>
      <w:numFmt w:val="decimal"/>
      <w:lvlText w:val="%7."/>
      <w:lvlJc w:val="left"/>
      <w:pPr>
        <w:ind w:left="5040" w:hanging="360"/>
      </w:pPr>
    </w:lvl>
    <w:lvl w:ilvl="7" w:tplc="37BA5EDA">
      <w:start w:val="1"/>
      <w:numFmt w:val="lowerLetter"/>
      <w:lvlText w:val="%8."/>
      <w:lvlJc w:val="left"/>
      <w:pPr>
        <w:ind w:left="5760" w:hanging="360"/>
      </w:pPr>
    </w:lvl>
    <w:lvl w:ilvl="8" w:tplc="466ADF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844"/>
    <w:multiLevelType w:val="hybridMultilevel"/>
    <w:tmpl w:val="6F382756"/>
    <w:lvl w:ilvl="0" w:tplc="7A2662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582CE32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6ED1E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2CC7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6CE24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80B90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B3ACA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50A7B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2C977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53782F"/>
    <w:multiLevelType w:val="hybridMultilevel"/>
    <w:tmpl w:val="DD5C90CA"/>
    <w:lvl w:ilvl="0" w:tplc="211230E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AEBCCEF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683AFE9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C11274D4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8AF6747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49BE5664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9C90BBCE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52E6B4B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B28DCDA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2B0776DE"/>
    <w:multiLevelType w:val="hybridMultilevel"/>
    <w:tmpl w:val="D318EBF4"/>
    <w:lvl w:ilvl="0" w:tplc="74FC4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A82A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ECC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E1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4853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2479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65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67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42AC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44195"/>
    <w:multiLevelType w:val="hybridMultilevel"/>
    <w:tmpl w:val="895CFB84"/>
    <w:lvl w:ilvl="0" w:tplc="930A8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66E3D2">
      <w:start w:val="1"/>
      <w:numFmt w:val="lowerLetter"/>
      <w:lvlText w:val="%2."/>
      <w:lvlJc w:val="left"/>
      <w:pPr>
        <w:ind w:left="1440" w:hanging="360"/>
      </w:pPr>
    </w:lvl>
    <w:lvl w:ilvl="2" w:tplc="88D0FCD8">
      <w:start w:val="1"/>
      <w:numFmt w:val="lowerRoman"/>
      <w:lvlText w:val="%3."/>
      <w:lvlJc w:val="right"/>
      <w:pPr>
        <w:ind w:left="2160" w:hanging="180"/>
      </w:pPr>
    </w:lvl>
    <w:lvl w:ilvl="3" w:tplc="AC327B2E">
      <w:start w:val="1"/>
      <w:numFmt w:val="decimal"/>
      <w:lvlText w:val="%4."/>
      <w:lvlJc w:val="left"/>
      <w:pPr>
        <w:ind w:left="2880" w:hanging="360"/>
      </w:pPr>
    </w:lvl>
    <w:lvl w:ilvl="4" w:tplc="1B829020">
      <w:start w:val="1"/>
      <w:numFmt w:val="lowerLetter"/>
      <w:lvlText w:val="%5."/>
      <w:lvlJc w:val="left"/>
      <w:pPr>
        <w:ind w:left="3600" w:hanging="360"/>
      </w:pPr>
    </w:lvl>
    <w:lvl w:ilvl="5" w:tplc="A9E67F58">
      <w:start w:val="1"/>
      <w:numFmt w:val="lowerRoman"/>
      <w:lvlText w:val="%6."/>
      <w:lvlJc w:val="right"/>
      <w:pPr>
        <w:ind w:left="4320" w:hanging="180"/>
      </w:pPr>
    </w:lvl>
    <w:lvl w:ilvl="6" w:tplc="D2B04C32">
      <w:start w:val="1"/>
      <w:numFmt w:val="decimal"/>
      <w:lvlText w:val="%7."/>
      <w:lvlJc w:val="left"/>
      <w:pPr>
        <w:ind w:left="5040" w:hanging="360"/>
      </w:pPr>
    </w:lvl>
    <w:lvl w:ilvl="7" w:tplc="B03A25CE">
      <w:start w:val="1"/>
      <w:numFmt w:val="lowerLetter"/>
      <w:lvlText w:val="%8."/>
      <w:lvlJc w:val="left"/>
      <w:pPr>
        <w:ind w:left="5760" w:hanging="360"/>
      </w:pPr>
    </w:lvl>
    <w:lvl w:ilvl="8" w:tplc="9E5EF8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3A3F554F"/>
    <w:multiLevelType w:val="hybridMultilevel"/>
    <w:tmpl w:val="237E1F0A"/>
    <w:lvl w:ilvl="0" w:tplc="238CF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C8AB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23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8A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492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A7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C0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34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9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D7541"/>
    <w:multiLevelType w:val="hybridMultilevel"/>
    <w:tmpl w:val="3A6A3F6C"/>
    <w:lvl w:ilvl="0" w:tplc="885CBD8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EFA7800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FBEB2D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BAADD9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846CB950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E31E784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22EC1DD2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8B32A95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436AA76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8" w15:restartNumberingAfterBreak="0">
    <w:nsid w:val="465D11AB"/>
    <w:multiLevelType w:val="hybridMultilevel"/>
    <w:tmpl w:val="F3083A80"/>
    <w:lvl w:ilvl="0" w:tplc="8FC6314A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372E2D02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18F0EF7E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42F055DA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E0B4157E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D7880ADE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5B9E3130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63F8B9BA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A142F9D0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9" w15:restartNumberingAfterBreak="0">
    <w:nsid w:val="4AC409B9"/>
    <w:multiLevelType w:val="hybridMultilevel"/>
    <w:tmpl w:val="697AD682"/>
    <w:lvl w:ilvl="0" w:tplc="C2AE1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4B0B1C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F0833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86795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4662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8D0D9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9F47D6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492AF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0AC9E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631C44"/>
    <w:multiLevelType w:val="hybridMultilevel"/>
    <w:tmpl w:val="30F0AE5E"/>
    <w:lvl w:ilvl="0" w:tplc="BD260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8DE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62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87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432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89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8C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2D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CCD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B7BC3"/>
    <w:multiLevelType w:val="hybridMultilevel"/>
    <w:tmpl w:val="5C18646E"/>
    <w:lvl w:ilvl="0" w:tplc="2CE48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3E9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DEB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03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2E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A2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C5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A6B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C59EF"/>
    <w:multiLevelType w:val="hybridMultilevel"/>
    <w:tmpl w:val="C0AE81C8"/>
    <w:lvl w:ilvl="0" w:tplc="6C76449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B952EF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CCA5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CE5E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F38A21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28565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7C013F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EAE56A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2A58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7A2517"/>
    <w:multiLevelType w:val="hybridMultilevel"/>
    <w:tmpl w:val="4A2AB4D6"/>
    <w:lvl w:ilvl="0" w:tplc="1B1A3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6C5AA">
      <w:start w:val="1"/>
      <w:numFmt w:val="lowerLetter"/>
      <w:lvlText w:val="%2."/>
      <w:lvlJc w:val="left"/>
      <w:pPr>
        <w:ind w:left="1440" w:hanging="360"/>
      </w:pPr>
    </w:lvl>
    <w:lvl w:ilvl="2" w:tplc="9AA06766">
      <w:start w:val="1"/>
      <w:numFmt w:val="lowerRoman"/>
      <w:lvlText w:val="%3."/>
      <w:lvlJc w:val="right"/>
      <w:pPr>
        <w:ind w:left="2160" w:hanging="180"/>
      </w:pPr>
    </w:lvl>
    <w:lvl w:ilvl="3" w:tplc="534C0688">
      <w:start w:val="1"/>
      <w:numFmt w:val="decimal"/>
      <w:lvlText w:val="%4."/>
      <w:lvlJc w:val="left"/>
      <w:pPr>
        <w:ind w:left="2880" w:hanging="360"/>
      </w:pPr>
    </w:lvl>
    <w:lvl w:ilvl="4" w:tplc="E02454D2">
      <w:start w:val="1"/>
      <w:numFmt w:val="lowerLetter"/>
      <w:lvlText w:val="%5."/>
      <w:lvlJc w:val="left"/>
      <w:pPr>
        <w:ind w:left="3600" w:hanging="360"/>
      </w:pPr>
    </w:lvl>
    <w:lvl w:ilvl="5" w:tplc="8CC84254">
      <w:start w:val="1"/>
      <w:numFmt w:val="lowerRoman"/>
      <w:lvlText w:val="%6."/>
      <w:lvlJc w:val="right"/>
      <w:pPr>
        <w:ind w:left="4320" w:hanging="180"/>
      </w:pPr>
    </w:lvl>
    <w:lvl w:ilvl="6" w:tplc="E13A0E62">
      <w:start w:val="1"/>
      <w:numFmt w:val="decimal"/>
      <w:lvlText w:val="%7."/>
      <w:lvlJc w:val="left"/>
      <w:pPr>
        <w:ind w:left="5040" w:hanging="360"/>
      </w:pPr>
    </w:lvl>
    <w:lvl w:ilvl="7" w:tplc="472609F8">
      <w:start w:val="1"/>
      <w:numFmt w:val="lowerLetter"/>
      <w:lvlText w:val="%8."/>
      <w:lvlJc w:val="left"/>
      <w:pPr>
        <w:ind w:left="5760" w:hanging="360"/>
      </w:pPr>
    </w:lvl>
    <w:lvl w:ilvl="8" w:tplc="DC3C93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A3E38"/>
    <w:multiLevelType w:val="multilevel"/>
    <w:tmpl w:val="3C340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7678C"/>
    <w:multiLevelType w:val="hybridMultilevel"/>
    <w:tmpl w:val="6CA45A84"/>
    <w:lvl w:ilvl="0" w:tplc="09D80A4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472DDC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D6C26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E8298A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04266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68464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366FD8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C96CED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BA5B8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8F22718"/>
    <w:multiLevelType w:val="hybridMultilevel"/>
    <w:tmpl w:val="1682B8CC"/>
    <w:lvl w:ilvl="0" w:tplc="DAE879F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C3CACAA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9B160BF6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3C24C15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BF8CFFD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4B1A8276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5D4A6A6E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866A24B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82323F44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8" w15:restartNumberingAfterBreak="0">
    <w:nsid w:val="7DF45EA8"/>
    <w:multiLevelType w:val="hybridMultilevel"/>
    <w:tmpl w:val="428A31C4"/>
    <w:lvl w:ilvl="0" w:tplc="78A27FD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A29607E0">
      <w:start w:val="1"/>
      <w:numFmt w:val="lowerLetter"/>
      <w:lvlText w:val="%2."/>
      <w:lvlJc w:val="left"/>
      <w:pPr>
        <w:ind w:left="1789" w:hanging="360"/>
      </w:pPr>
    </w:lvl>
    <w:lvl w:ilvl="2" w:tplc="97C85F84">
      <w:start w:val="1"/>
      <w:numFmt w:val="lowerRoman"/>
      <w:lvlText w:val="%3."/>
      <w:lvlJc w:val="right"/>
      <w:pPr>
        <w:ind w:left="2509" w:hanging="180"/>
      </w:pPr>
    </w:lvl>
    <w:lvl w:ilvl="3" w:tplc="B152253A">
      <w:start w:val="1"/>
      <w:numFmt w:val="decimal"/>
      <w:lvlText w:val="%4."/>
      <w:lvlJc w:val="left"/>
      <w:pPr>
        <w:ind w:left="3229" w:hanging="360"/>
      </w:pPr>
    </w:lvl>
    <w:lvl w:ilvl="4" w:tplc="78E67940">
      <w:start w:val="1"/>
      <w:numFmt w:val="lowerLetter"/>
      <w:lvlText w:val="%5."/>
      <w:lvlJc w:val="left"/>
      <w:pPr>
        <w:ind w:left="3949" w:hanging="360"/>
      </w:pPr>
    </w:lvl>
    <w:lvl w:ilvl="5" w:tplc="0FAA5E5A">
      <w:start w:val="1"/>
      <w:numFmt w:val="lowerRoman"/>
      <w:lvlText w:val="%6."/>
      <w:lvlJc w:val="right"/>
      <w:pPr>
        <w:ind w:left="4669" w:hanging="180"/>
      </w:pPr>
    </w:lvl>
    <w:lvl w:ilvl="6" w:tplc="3E6E8490">
      <w:start w:val="1"/>
      <w:numFmt w:val="decimal"/>
      <w:lvlText w:val="%7."/>
      <w:lvlJc w:val="left"/>
      <w:pPr>
        <w:ind w:left="5389" w:hanging="360"/>
      </w:pPr>
    </w:lvl>
    <w:lvl w:ilvl="7" w:tplc="F1B8C062">
      <w:start w:val="1"/>
      <w:numFmt w:val="lowerLetter"/>
      <w:lvlText w:val="%8."/>
      <w:lvlJc w:val="left"/>
      <w:pPr>
        <w:ind w:left="6109" w:hanging="360"/>
      </w:pPr>
    </w:lvl>
    <w:lvl w:ilvl="8" w:tplc="210059D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6"/>
  </w:num>
  <w:num w:numId="6">
    <w:abstractNumId w:val="4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18"/>
  </w:num>
  <w:num w:numId="12">
    <w:abstractNumId w:val="9"/>
  </w:num>
  <w:num w:numId="13">
    <w:abstractNumId w:val="2"/>
  </w:num>
  <w:num w:numId="14">
    <w:abstractNumId w:val="9"/>
  </w:num>
  <w:num w:numId="15">
    <w:abstractNumId w:val="10"/>
  </w:num>
  <w:num w:numId="16">
    <w:abstractNumId w:val="2"/>
  </w:num>
  <w:num w:numId="17">
    <w:abstractNumId w:val="9"/>
  </w:num>
  <w:num w:numId="18">
    <w:abstractNumId w:val="10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15"/>
  </w:num>
  <w:num w:numId="25">
    <w:abstractNumId w:val="5"/>
  </w:num>
  <w:num w:numId="26">
    <w:abstractNumId w:val="15"/>
  </w:num>
  <w:num w:numId="27">
    <w:abstractNumId w:val="7"/>
  </w:num>
  <w:num w:numId="28">
    <w:abstractNumId w:val="11"/>
  </w:num>
  <w:num w:numId="29">
    <w:abstractNumId w:val="1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76"/>
    <w:rsid w:val="0003564F"/>
    <w:rsid w:val="00216B87"/>
    <w:rsid w:val="003030B9"/>
    <w:rsid w:val="003656B7"/>
    <w:rsid w:val="005513B8"/>
    <w:rsid w:val="00681F86"/>
    <w:rsid w:val="00697F08"/>
    <w:rsid w:val="007A3F2B"/>
    <w:rsid w:val="007E5788"/>
    <w:rsid w:val="008E1CF8"/>
    <w:rsid w:val="00946573"/>
    <w:rsid w:val="009924D1"/>
    <w:rsid w:val="009A6787"/>
    <w:rsid w:val="009E7D70"/>
    <w:rsid w:val="00B91FCF"/>
    <w:rsid w:val="00BC5276"/>
    <w:rsid w:val="00BD2D78"/>
    <w:rsid w:val="00CB09E6"/>
    <w:rsid w:val="00D318DE"/>
    <w:rsid w:val="00E23786"/>
    <w:rsid w:val="00E5538C"/>
    <w:rsid w:val="00F75E6A"/>
    <w:rsid w:val="00FA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5EB"/>
  <w15:docId w15:val="{1DFC279E-E482-482F-A946-73DB2FE9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Strong"/>
    <w:qFormat/>
    <w:rPr>
      <w:b/>
      <w:bCs/>
    </w:rPr>
  </w:style>
  <w:style w:type="paragraph" w:styleId="af4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Pr>
      <w:sz w:val="24"/>
      <w:szCs w:val="24"/>
    </w:rPr>
  </w:style>
  <w:style w:type="paragraph" w:styleId="aff">
    <w:name w:val="Normal (Web)"/>
    <w:basedOn w:val="a"/>
    <w:link w:val="aff0"/>
    <w:pPr>
      <w:spacing w:before="100" w:beforeAutospacing="1" w:after="100" w:afterAutospacing="1"/>
    </w:pPr>
  </w:style>
  <w:style w:type="character" w:customStyle="1" w:styleId="aff0">
    <w:name w:val="Обычный (веб) Знак"/>
    <w:link w:val="aff"/>
    <w:rPr>
      <w:sz w:val="24"/>
      <w:szCs w:val="24"/>
    </w:rPr>
  </w:style>
  <w:style w:type="paragraph" w:styleId="33">
    <w:name w:val="Body Text Indent 3"/>
    <w:basedOn w:val="a"/>
    <w:link w:val="34"/>
    <w:pPr>
      <w:ind w:right="-143" w:firstLine="709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rPr>
      <w:sz w:val="28"/>
      <w:szCs w:val="28"/>
    </w:rPr>
  </w:style>
  <w:style w:type="character" w:customStyle="1" w:styleId="af7">
    <w:name w:val="Нижний колонтитул Знак"/>
    <w:link w:val="af6"/>
    <w:uiPriority w:val="99"/>
    <w:rPr>
      <w:sz w:val="24"/>
      <w:szCs w:val="24"/>
    </w:rPr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sz w:val="24"/>
      <w:szCs w:val="24"/>
    </w:rPr>
  </w:style>
  <w:style w:type="paragraph" w:customStyle="1" w:styleId="ConsPlusNormal">
    <w:name w:val="ConsPlusNormal"/>
    <w:rPr>
      <w:sz w:val="28"/>
      <w:szCs w:val="28"/>
    </w:rPr>
  </w:style>
  <w:style w:type="paragraph" w:customStyle="1" w:styleId="110">
    <w:name w:val="Табличный_боковик_11"/>
    <w:link w:val="111"/>
    <w:qFormat/>
    <w:rPr>
      <w:sz w:val="22"/>
      <w:szCs w:val="24"/>
    </w:rPr>
  </w:style>
  <w:style w:type="character" w:customStyle="1" w:styleId="111">
    <w:name w:val="Табличный_боковик_11 Знак"/>
    <w:link w:val="110"/>
    <w:rPr>
      <w:sz w:val="22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05005-C897-4109-8F0A-DF7FA9D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369</cp:revision>
  <dcterms:created xsi:type="dcterms:W3CDTF">2015-10-13T08:17:00Z</dcterms:created>
  <dcterms:modified xsi:type="dcterms:W3CDTF">2025-10-17T07:39:00Z</dcterms:modified>
</cp:coreProperties>
</file>