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мероприятий по установлению вида фактического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нежилых</w:t>
      </w:r>
      <w:r>
        <w:rPr>
          <w:rFonts w:ascii="Times New Roman" w:hAnsi="Times New Roman" w:cs="Times New Roman"/>
          <w:sz w:val="28"/>
          <w:szCs w:val="28"/>
        </w:rPr>
        <w:t xml:space="preserve"> помещений, в отношении которых налоговая база по налогу на имущество определяется как кадастровая стоимость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07.10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1985"/>
        <w:gridCol w:w="1843"/>
        <w:gridCol w:w="6350"/>
        <w:gridCol w:w="1588"/>
        <w:gridCol w:w="963"/>
      </w:tblGrid>
      <w:tr>
        <w:tblPrEx/>
        <w:trPr/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акта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публикации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54:35:051625:834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54:35:051625:834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54:35:051625:885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54:35:051625:885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54:35:051625:729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54:35:051625:729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54:35:051625:627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54:35:051625:627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54:35:051625:635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54:35:051625:635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54:35:051625:628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54:35:051625:628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54:35:051625:302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54:35:051625:554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54:35:051625:554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предусматривает размещение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21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fffff" w:themeFill="background1"/>
            <w:tcW w:w="15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9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офисов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54:35:051625:1347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:1347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объектов бытового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54:35:051625:1349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:1349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:1243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офисов.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54:35:051625:555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:555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 и объектов бытового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54:35:051625:556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:556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торговых объектов.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офисов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:1243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используется в целях размещения офисов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54:35:051625:899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:899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54:35:051625:1346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:1346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54:35:051625:1348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:1348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54:35:051625:1242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:1242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54:35:051625:946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54:35:051625:947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:947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 w:themeFill="background1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21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54:35:051625:1356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ул. Костычева, 74/1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 543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W w:w="6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54:35: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051625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:1356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 предназначено/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 не используется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целях размещения офисов, торговых объектов, объектов общественного питания и объектов бытового обслуживания.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Не 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оответствует 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 п.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п.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ст. 378.2 Налогового кодекса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1 ст. 4.5 Закона Новосибирской обла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 от 16.10.2003 № 142-ОЗ «О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налогах и особенностях налогообложения отдельных категорий налогоплател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ьщиков в Новосибирской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 w:themeFill="background1"/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W w:w="9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</dc:creator>
  <cp:revision>26</cp:revision>
  <dcterms:created xsi:type="dcterms:W3CDTF">2020-12-15T04:05:00Z</dcterms:created>
  <dcterms:modified xsi:type="dcterms:W3CDTF">2025-10-07T05:59:22Z</dcterms:modified>
</cp:coreProperties>
</file>