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9" w:tooltip="http://dizo.nso.ru" w:history="1">
        <w:r>
          <w:rPr>
            <w:color w:val="0000ff"/>
            <w:sz w:val="26"/>
            <w:szCs w:val="26"/>
            <w:u w:val="single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0" w:tooltip="mailto:dgi@nso.ru" w:history="1">
        <w:r>
          <w:rPr>
            <w:color w:val="0000ff"/>
            <w:sz w:val="26"/>
            <w:szCs w:val="26"/>
            <w:u w:val="single"/>
            <w:lang w:val="en-US"/>
          </w:rPr>
          <w:t xml:space="preserve">dgi</w:t>
        </w:r>
        <w:r>
          <w:rPr>
            <w:color w:val="0000ff"/>
            <w:sz w:val="26"/>
            <w:szCs w:val="26"/>
            <w:u w:val="single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31.10.2025 № 3386 «О проведении аукциона на право заключения договора аренды земельного участка с кадастровым номером 54:20:030701:204».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Оператор электронной площадки:</w:t>
      </w:r>
      <w:r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bCs/>
          <w:sz w:val="26"/>
          <w:szCs w:val="26"/>
        </w:rPr>
        <w:t xml:space="preserve">этаж 25, помещение №1, адрес сайта: </w:t>
      </w:r>
      <w:hyperlink r:id="rId11" w:tooltip="http://www.rts-tender.ru" w:history="1">
        <w:r>
          <w:rPr>
            <w:color w:val="0000ff"/>
            <w:sz w:val="26"/>
            <w:szCs w:val="26"/>
            <w:u w:val="single"/>
          </w:rPr>
          <w:t xml:space="preserve">www.rts-tender.ru</w:t>
        </w:r>
      </w:hyperlink>
      <w:r>
        <w:rPr>
          <w:bCs/>
          <w:sz w:val="26"/>
          <w:szCs w:val="26"/>
        </w:rPr>
        <w:t xml:space="preserve">, адрес электронной почты: </w:t>
      </w:r>
      <w:hyperlink r:id="rId12" w:tooltip="mailto:iSupport@rts-tender.ru" w:history="1">
        <w:r>
          <w:rPr>
            <w:color w:val="0000ff"/>
            <w:sz w:val="26"/>
            <w:szCs w:val="26"/>
            <w:u w:val="single"/>
          </w:rPr>
          <w:t xml:space="preserve">iSupport@rts-tender.ru</w:t>
        </w:r>
      </w:hyperlink>
      <w:r>
        <w:rPr>
          <w:bCs/>
          <w:sz w:val="26"/>
          <w:szCs w:val="26"/>
        </w:rPr>
        <w:t xml:space="preserve">, телефон: +7 (499) 653-55-00.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торгов: </w:t>
      </w:r>
      <w:r>
        <w:rPr>
          <w:bCs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19 февраля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</w:t>
      </w:r>
      <w:r>
        <w:rPr>
          <w:sz w:val="26"/>
          <w:szCs w:val="26"/>
        </w:rPr>
        <w:t xml:space="preserve">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keepNext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Лот № 1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</w:t>
      </w:r>
      <w:r>
        <w:rPr>
          <w:sz w:val="26"/>
          <w:szCs w:val="26"/>
        </w:rPr>
        <w:t xml:space="preserve">твенная собственность на который не разграничена, с кадастровым номером 54:20:030701:204, площадью 129976 кв.м, местоположение:   обл. Новосибирская, р-н Ордынский, с/с МО Новошарапский, категория земель: земли сельскохозяйственного назначен</w:t>
      </w:r>
      <w:r>
        <w:rPr>
          <w:sz w:val="26"/>
          <w:szCs w:val="26"/>
        </w:rPr>
        <w:t xml:space="preserve">ия, разрешенное использование: Растениеводство (1.1), Выращивание зерновых и иных сельскохозяйственных культур (1.2), Овощеводство (1.3), Выращивание тонизирующих, лекарственных, цветочных культур (1.4), Садоводство (1.5), Выращивание льна и конопли (1.6).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>
        <w:rPr>
          <w:sz w:val="26"/>
          <w:szCs w:val="26"/>
        </w:rPr>
        <w:t xml:space="preserve">отсутствуют.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</w:t>
      </w:r>
      <w:r>
        <w:rPr>
          <w:sz w:val="26"/>
          <w:szCs w:val="26"/>
        </w:rPr>
        <w:t xml:space="preserve"> В соответствии с разрешенным использованием земельного участка – Растениеводство (1.1), Выращивание зерновых и иных сельскохозяйственных культур (1.2), Овощеводство (1.3), Выра</w:t>
      </w:r>
      <w:r>
        <w:rPr>
          <w:sz w:val="26"/>
          <w:szCs w:val="26"/>
        </w:rPr>
        <w:t xml:space="preserve">щивание тонизирующих, лекарственных, цветочных культур (1.4), Садоводство (1.5), Выращивание льна и конопли (1.6)., участок предоставляется для использования в целях, не связанных со строительством, без права возведения объектов капитального строительства.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bCs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Пройд</w:t>
      </w:r>
      <w:r>
        <w:rPr>
          <w:bCs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После регистраци</w:t>
      </w:r>
      <w:r>
        <w:rPr>
          <w:bCs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 если Пр</w:t>
      </w:r>
      <w:r>
        <w:rPr>
          <w:bCs/>
          <w:sz w:val="26"/>
          <w:szCs w:val="26"/>
        </w:rPr>
        <w:t xml:space="preserve">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</w:t>
      </w:r>
      <w:r>
        <w:rPr>
          <w:bCs/>
          <w:sz w:val="26"/>
          <w:szCs w:val="26"/>
        </w:rPr>
        <w:t xml:space="preserve">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Регистрации в ГИС Торги подлежат Претенден</w:t>
      </w:r>
      <w:r>
        <w:rPr>
          <w:bCs/>
          <w:sz w:val="26"/>
          <w:szCs w:val="26"/>
        </w:rPr>
        <w:t xml:space="preserve">ты, ранее не зарегистрированные </w:t>
      </w:r>
      <w:r>
        <w:rPr>
          <w:bCs/>
          <w:sz w:val="26"/>
          <w:szCs w:val="26"/>
        </w:rPr>
        <w:t xml:space="preserve">в ГИС Торги или регистрация которых в ГИС Торги была ими прекращена.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обеспечения доступа к подаче заявки и к участию в аукционе заявителю необходимо пройти аккредитацию на электронной площадке в соответствии с </w:t>
      </w:r>
      <w:r>
        <w:rPr>
          <w:bCs/>
          <w:sz w:val="26"/>
          <w:szCs w:val="26"/>
        </w:rPr>
        <w:t xml:space="preserve">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bCs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bCs/>
          <w:sz w:val="26"/>
          <w:szCs w:val="26"/>
        </w:rPr>
        <w:t xml:space="preserve">по адресу: </w:t>
      </w:r>
      <w:hyperlink r:id="rId13" w:tooltip="https://www.rts-tender.ru/platform-rules/platform-property-sales" w:history="1">
        <w:r>
          <w:rPr>
            <w:bCs/>
            <w:color w:val="0000ff"/>
            <w:sz w:val="26"/>
            <w:szCs w:val="26"/>
            <w:u w:val="single"/>
          </w:rPr>
          <w:t xml:space="preserve">https://www.rts-tender.ru/platform-rules/platform-property-sales</w:t>
        </w:r>
      </w:hyperlink>
      <w:r>
        <w:rPr>
          <w:bCs/>
          <w:color w:val="0000ff"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4" w:tooltip="https://www.rts-tender.ru/tariffs/platform-property-sales-tariffs" w:history="1">
        <w:r>
          <w:rPr>
            <w:color w:val="0000ff"/>
            <w:sz w:val="26"/>
            <w:szCs w:val="26"/>
            <w:u w:val="single"/>
          </w:rPr>
          <w:t xml:space="preserve">https://www.rts-tender.ru/tariffs/platform-property-sales-tariffs</w:t>
        </w:r>
      </w:hyperlink>
      <w:r>
        <w:rPr>
          <w:sz w:val="26"/>
          <w:szCs w:val="26"/>
        </w:rPr>
        <w:t xml:space="preserve">. Размер тарифа – 1% от начальной цены имущества и не более 7 500 рублей, без учета НДС.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/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договора</w:t>
      </w:r>
      <w:r>
        <w:t xml:space="preserve"> </w:t>
      </w:r>
      <w:r>
        <w:rPr>
          <w:b/>
          <w:bCs/>
          <w:sz w:val="26"/>
          <w:szCs w:val="26"/>
        </w:rPr>
        <w:t xml:space="preserve">в электронной форме: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Начальная цена предмета аукциона: </w:t>
      </w:r>
      <w:r>
        <w:rPr>
          <w:bCs/>
          <w:sz w:val="26"/>
          <w:szCs w:val="26"/>
        </w:rPr>
        <w:t xml:space="preserve">117 000 (сто семнадцать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5 850 (пять тысяч восемьсот пятьдесят) рублей 00 копеек.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Место приема заявок на участие в аукционе</w:t>
      </w:r>
      <w:r>
        <w:rPr>
          <w:bCs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и время начала приема заявок:</w:t>
      </w:r>
      <w:r>
        <w:rPr>
          <w:bCs/>
          <w:sz w:val="26"/>
          <w:szCs w:val="26"/>
        </w:rPr>
        <w:t xml:space="preserve"> 31 января 2026 года в 00-00 по местному времени. Прием заявок осуществляется круглосуточно.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и время окончания приема заявок:</w:t>
      </w:r>
      <w:r>
        <w:rPr>
          <w:bCs/>
          <w:sz w:val="26"/>
          <w:szCs w:val="26"/>
        </w:rPr>
        <w:t xml:space="preserve"> 17 февраля 2026 года в 00-00 по местному времени.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определения участников аукциона: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18 февраля 2025 года.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</w:t>
      </w:r>
      <w:r>
        <w:rPr>
          <w:sz w:val="26"/>
          <w:szCs w:val="26"/>
        </w:rPr>
        <w:t xml:space="preserve">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bCs/>
          <w:sz w:val="26"/>
          <w:szCs w:val="26"/>
        </w:rPr>
        <w:t xml:space="preserve">19 февраля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keepNext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подведения итогов аукциона:</w:t>
      </w:r>
      <w:r>
        <w:rPr>
          <w:bCs/>
          <w:sz w:val="26"/>
          <w:szCs w:val="26"/>
        </w:rPr>
        <w:t xml:space="preserve"> 19 февраля 2026 года.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keepNext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документы, подтверждающие внесение задатка.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Размер задатка: 117 000 (сто семнадцать тысяч)</w:t>
      </w:r>
      <w:r>
        <w:rPr>
          <w:bCs/>
          <w:sz w:val="26"/>
          <w:szCs w:val="26"/>
        </w:rPr>
        <w:t xml:space="preserve"> рублей 00 копеек.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Департамент имущества и земельных отношений Новосибирской области (л/с 190010013). Получатель:</w:t>
      </w:r>
      <w:r>
        <w:rPr>
          <w:bCs/>
          <w:sz w:val="26"/>
          <w:szCs w:val="26"/>
        </w:rPr>
        <w:t xml:space="preserve"> МФиНП НСО (ДИиЗО НСО, л/с190010013), ИНН 5406214965 / КПП 540601001, ОКЦ №1 Сибирское ГУ Банка России//УФК по Новосибирской области г.Новосибирск, БИК 015004950, р/с 40102810445370000043, л/с 03222643500000005100, ОКТМО 50701000, КБК 00000000000000000510.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54:20:030701:204.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</w:t>
      </w:r>
      <w:r>
        <w:rPr>
          <w:bCs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</w:t>
      </w:r>
      <w:r>
        <w:rPr>
          <w:bCs/>
          <w:sz w:val="26"/>
          <w:szCs w:val="26"/>
        </w:rPr>
        <w:t xml:space="preserve">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участка: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</w:t>
      </w:r>
      <w:r>
        <w:rPr>
          <w:sz w:val="26"/>
          <w:szCs w:val="26"/>
        </w:rPr>
        <w:t xml:space="preserve">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</w:t>
      </w:r>
      <w:bookmarkStart w:id="0" w:name="_GoBack"/>
      <w:r/>
      <w:bookmarkEnd w:id="0"/>
      <w:r>
        <w:rPr>
          <w:sz w:val="26"/>
          <w:szCs w:val="26"/>
        </w:rPr>
        <w:t xml:space="preserve">енды земельного участка составляет </w:t>
      </w:r>
      <w:r>
        <w:rPr>
          <w:b/>
          <w:bCs/>
          <w:i/>
          <w:iCs/>
          <w:sz w:val="26"/>
          <w:szCs w:val="26"/>
          <w:u w:val="single"/>
        </w:rPr>
        <w:t xml:space="preserve">10 (десять)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993" w:leader="none"/>
        </w:tabs>
      </w:pPr>
      <w: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/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</w:t>
      </w:r>
      <w:r>
        <w:rPr>
          <w:sz w:val="26"/>
          <w:szCs w:val="26"/>
        </w:rPr>
        <w:t xml:space="preserve">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5" w:tooltip="http://www.torgi.gov.ru" w:history="1">
        <w:r>
          <w:rPr>
            <w:color w:val="0000ff"/>
            <w:sz w:val="26"/>
            <w:szCs w:val="26"/>
            <w:u w:val="single"/>
            <w:lang w:val="en-US"/>
          </w:rPr>
          <w:t xml:space="preserve">www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torgi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gov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bCs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6" w:tooltip="http://www.torgi.gov.ru" w:history="1">
        <w:r>
          <w:rPr>
            <w:color w:val="0000ff"/>
            <w:sz w:val="26"/>
            <w:szCs w:val="26"/>
            <w:u w:val="single"/>
            <w:lang w:val="en-US"/>
          </w:rPr>
          <w:t xml:space="preserve">www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torgi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gov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</w:t>
      </w:r>
      <w:r/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845" w:hanging="360"/>
        <w:tabs>
          <w:tab w:val="num" w:pos="84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65" w:hanging="360"/>
        <w:tabs>
          <w:tab w:val="num" w:pos="156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5" w:hanging="360"/>
        <w:tabs>
          <w:tab w:val="num" w:pos="228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5" w:hanging="360"/>
        <w:tabs>
          <w:tab w:val="num" w:pos="300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5" w:hanging="360"/>
        <w:tabs>
          <w:tab w:val="num" w:pos="372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5" w:hanging="360"/>
        <w:tabs>
          <w:tab w:val="num" w:pos="444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5" w:hanging="360"/>
        <w:tabs>
          <w:tab w:val="num" w:pos="516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5" w:hanging="360"/>
        <w:tabs>
          <w:tab w:val="num" w:pos="588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5" w:hanging="360"/>
        <w:tabs>
          <w:tab w:val="num" w:pos="6605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1"/>
    <w:uiPriority w:val="10"/>
    <w:rPr>
      <w:sz w:val="48"/>
      <w:szCs w:val="48"/>
    </w:rPr>
  </w:style>
  <w:style w:type="character" w:styleId="680">
    <w:name w:val="Subtitle Char"/>
    <w:basedOn w:val="697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7"/>
    <w:link w:val="719"/>
    <w:uiPriority w:val="99"/>
  </w:style>
  <w:style w:type="character" w:styleId="684">
    <w:name w:val="Caption Char"/>
    <w:basedOn w:val="697"/>
    <w:link w:val="723"/>
    <w:uiPriority w:val="35"/>
    <w:rPr>
      <w:b/>
      <w:bCs/>
      <w:color w:val="4f81bd" w:themeColor="accent1"/>
      <w:sz w:val="18"/>
      <w:szCs w:val="18"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sz w:val="24"/>
      <w:szCs w:val="24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qFormat/>
    <w:pPr>
      <w:jc w:val="center"/>
      <w:keepNext/>
      <w:outlineLvl w:val="1"/>
    </w:pPr>
    <w:rPr>
      <w:b/>
      <w:bCs/>
      <w:sz w:val="28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7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ody Text Indent"/>
    <w:basedOn w:val="687"/>
    <w:pPr>
      <w:ind w:left="485"/>
    </w:pPr>
  </w:style>
  <w:style w:type="character" w:styleId="870">
    <w:name w:val="Strong"/>
    <w:qFormat/>
    <w:rPr>
      <w:b/>
      <w:bCs/>
    </w:rPr>
  </w:style>
  <w:style w:type="paragraph" w:styleId="871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872">
    <w:name w:val="Normal (Web)"/>
    <w:basedOn w:val="687"/>
    <w:link w:val="873"/>
    <w:pPr>
      <w:spacing w:before="100" w:beforeAutospacing="1" w:after="100" w:afterAutospacing="1"/>
    </w:pPr>
    <w:rPr>
      <w:lang w:val="en-US" w:eastAsia="en-US"/>
    </w:rPr>
  </w:style>
  <w:style w:type="character" w:styleId="873" w:customStyle="1">
    <w:name w:val="Обычный (веб) Знак"/>
    <w:link w:val="872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dizo.nso.ru" TargetMode="External"/><Relationship Id="rId10" Type="http://schemas.openxmlformats.org/officeDocument/2006/relationships/hyperlink" Target="mailto:dgi@nso.ru" TargetMode="External"/><Relationship Id="rId11" Type="http://schemas.openxmlformats.org/officeDocument/2006/relationships/hyperlink" Target="http://www.rts-tender.ru" TargetMode="External"/><Relationship Id="rId12" Type="http://schemas.openxmlformats.org/officeDocument/2006/relationships/hyperlink" Target="mailto:iSupport@rts-tender.ru" TargetMode="External"/><Relationship Id="rId13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www.rts-tender.ru/tariffs/platform-property-sales-tariff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sasdv</cp:lastModifiedBy>
  <cp:revision>124</cp:revision>
  <dcterms:created xsi:type="dcterms:W3CDTF">2015-10-22T08:40:00Z</dcterms:created>
  <dcterms:modified xsi:type="dcterms:W3CDTF">2026-01-30T08:40:13Z</dcterms:modified>
  <cp:version>1048576</cp:version>
</cp:coreProperties>
</file>