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право заключения договора аренды земельного участка</w:t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2" w:tooltip="http://dizo.nso.ru" w:history="1">
        <w:r>
          <w:rPr>
            <w:color w:val="0000ff"/>
            <w:sz w:val="26"/>
            <w:szCs w:val="26"/>
            <w:u w:val="single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13" w:tooltip="mailto:dgi@nso.ru" w:history="1">
        <w:r>
          <w:rPr>
            <w:color w:val="0000ff"/>
            <w:sz w:val="26"/>
            <w:szCs w:val="26"/>
            <w:u w:val="single"/>
            <w:lang w:val="en-US"/>
          </w:rPr>
          <w:t xml:space="preserve">dgi</w:t>
        </w:r>
        <w:r>
          <w:rPr>
            <w:color w:val="0000ff"/>
            <w:sz w:val="26"/>
            <w:szCs w:val="26"/>
            <w:u w:val="single"/>
          </w:rPr>
          <w:t xml:space="preserve">@nso.ru</w:t>
        </w:r>
      </w:hyperlink>
      <w:r>
        <w:rPr>
          <w:sz w:val="26"/>
          <w:szCs w:val="26"/>
        </w:rPr>
        <w:t xml:space="preserve">, телефон: +7 (383) 238-60-02.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25.12.2025 № 4107 «О проведении аукциона на право заключения договора аренды земельного участка с кадастровым номером 54:19:062302:491».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Оператор электронной площадки:</w:t>
      </w:r>
      <w:r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bCs/>
          <w:sz w:val="26"/>
          <w:szCs w:val="26"/>
        </w:rPr>
        <w:t xml:space="preserve">этаж 25, помещение №1, адрес сайта: </w:t>
      </w:r>
      <w:hyperlink r:id="rId14" w:tooltip="http://www.rts-tender.ru" w:history="1">
        <w:r>
          <w:rPr>
            <w:color w:val="0000ff"/>
            <w:sz w:val="26"/>
            <w:szCs w:val="26"/>
            <w:u w:val="single"/>
          </w:rPr>
          <w:t xml:space="preserve">www.rts-tender.ru</w:t>
        </w:r>
      </w:hyperlink>
      <w:r>
        <w:rPr>
          <w:bCs/>
          <w:sz w:val="26"/>
          <w:szCs w:val="26"/>
        </w:rPr>
        <w:t xml:space="preserve">, адрес электронной почты: </w:t>
      </w:r>
      <w:hyperlink r:id="rId15" w:tooltip="mailto:iSupport@rts-tender.ru" w:history="1">
        <w:r>
          <w:rPr>
            <w:color w:val="0000ff"/>
            <w:sz w:val="26"/>
            <w:szCs w:val="26"/>
            <w:u w:val="single"/>
          </w:rPr>
          <w:t xml:space="preserve">iSupport@rts-tender.ru</w:t>
        </w:r>
      </w:hyperlink>
      <w:r>
        <w:rPr>
          <w:bCs/>
          <w:sz w:val="26"/>
          <w:szCs w:val="26"/>
        </w:rPr>
        <w:t xml:space="preserve">, телефон: +7 (499) 653-55-00.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 торгов: </w:t>
      </w:r>
      <w:r>
        <w:rPr>
          <w:bCs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09 февраля 2026 года.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Если в течение 10 (десяти) минут со </w:t>
      </w:r>
      <w:r>
        <w:rPr>
          <w:sz w:val="26"/>
          <w:szCs w:val="26"/>
        </w:rPr>
        <w:t xml:space="preserve">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 проведения процедуры аукциона фиксируется операт</w:t>
      </w:r>
      <w:r>
        <w:rPr>
          <w:sz w:val="26"/>
          <w:szCs w:val="26"/>
        </w:rPr>
        <w:t xml:space="preserve">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 результатах аукциона публикуется организатором аукциона на электронной площадке.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</w:t>
      </w:r>
      <w:r>
        <w:rPr>
          <w:sz w:val="26"/>
          <w:szCs w:val="26"/>
        </w:rPr>
        <w:t xml:space="preserve">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право на заключение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keepNext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Лот № 1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</w:t>
      </w:r>
      <w:r>
        <w:rPr>
          <w:sz w:val="26"/>
          <w:szCs w:val="26"/>
        </w:rPr>
        <w:t xml:space="preserve">ственная собственность на который не разграничена, с кадастровым номером 54:19:062302:491, площадью 3054 кв.м, местоположение:  Российская Федерация, Новосибирская область, Новосибирский район, Верх-Тулинский сельсовет, категория земель: земли промышленнос</w:t>
      </w:r>
      <w:r>
        <w:rPr>
          <w:sz w:val="26"/>
          <w:szCs w:val="26"/>
        </w:rPr>
        <w:t xml:space="preserve">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Обеспечение дорожного отдыха (4.9.1.2).</w:t>
      </w:r>
      <w:r>
        <w:rPr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  <w:r>
        <w:rPr>
          <w:b/>
          <w:bCs/>
          <w:sz w:val="26"/>
          <w:szCs w:val="26"/>
        </w:rPr>
      </w:r>
    </w:p>
    <w:p>
      <w:pPr>
        <w:numPr>
          <w:ilvl w:val="0"/>
          <w:numId w:val="17"/>
        </w:numPr>
        <w:contextualSpacing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Зона 54:19-6.2485 - Придорожная полоса автомобильной дороги "Новосибирск - Кочки - Павлодар (в пред. РФ)" в Новосибирском районе Новосибирской области;</w:t>
      </w:r>
      <w:r>
        <w:rPr>
          <w:sz w:val="26"/>
          <w:szCs w:val="26"/>
        </w:rPr>
      </w:r>
    </w:p>
    <w:p>
      <w:pPr>
        <w:numPr>
          <w:ilvl w:val="0"/>
          <w:numId w:val="17"/>
        </w:numPr>
        <w:contextualSpacing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Зона 54:19-6.2486 - Охранная зона кабельной линии связи в канализации с дополнительным оборудованием с кадастровым номером 54:19:034001:2238;</w:t>
      </w:r>
      <w:r>
        <w:rPr>
          <w:sz w:val="26"/>
          <w:szCs w:val="26"/>
        </w:rPr>
      </w:r>
    </w:p>
    <w:p>
      <w:pPr>
        <w:numPr>
          <w:ilvl w:val="0"/>
          <w:numId w:val="17"/>
        </w:numPr>
        <w:contextualSpacing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Зона 54:19-6.2330 - Придорожная полоса автомобильной дороги "Новосибирск - Кочки - Павлодар" на участке 14,150 км - 15,300 км в Новосибирском районе Новосибирской области.;</w:t>
      </w:r>
      <w:r>
        <w:rPr>
          <w:sz w:val="26"/>
          <w:szCs w:val="26"/>
        </w:rPr>
      </w:r>
    </w:p>
    <w:p>
      <w:pPr>
        <w:numPr>
          <w:ilvl w:val="0"/>
          <w:numId w:val="17"/>
        </w:numPr>
        <w:contextualSpacing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Зона 54:19-6.2242 - Сан</w:t>
      </w:r>
      <w:r>
        <w:rPr>
          <w:sz w:val="26"/>
          <w:szCs w:val="26"/>
        </w:rPr>
        <w:t xml:space="preserve">итарно-защитная зона для ПЛОЩАДКИ №3 – ПОЛИГОН «ЛЕВОБЕРЕЖНЫЙ» МУНИЦИПАЛЬНОГО УНИТАРНОГО ПРЕДПРИЯТИЯ ГОРОДА НОВОСИБИРСКА «СПЕЦАВТОХОЗЯЙСТВО» расположенной по адресу: Новосибирская область, Новосибирский район, МО ВерхТулинский сельсовет, ул. Малыгина, 23/2;</w:t>
      </w:r>
      <w:r>
        <w:rPr>
          <w:sz w:val="26"/>
          <w:szCs w:val="26"/>
        </w:rPr>
      </w:r>
    </w:p>
    <w:p>
      <w:pPr>
        <w:numPr>
          <w:ilvl w:val="0"/>
          <w:numId w:val="17"/>
        </w:numPr>
        <w:contextualSpacing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Зона 54:00-6.305 - Водоохранная зона р. Тула (Бол. Тула), ГО г. Новосибирск, Новосибирский район;</w:t>
      </w:r>
      <w:r>
        <w:rPr>
          <w:sz w:val="26"/>
          <w:szCs w:val="26"/>
        </w:rPr>
      </w:r>
    </w:p>
    <w:p>
      <w:pPr>
        <w:numPr>
          <w:ilvl w:val="0"/>
          <w:numId w:val="17"/>
        </w:numPr>
        <w:contextualSpacing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Зона 54:00-6.12 - Охранная зона "Воздушно-кабельная линия ПСТ 10 Кв от РП 14 до ТП-3584";</w:t>
      </w:r>
      <w:r>
        <w:rPr>
          <w:sz w:val="26"/>
          <w:szCs w:val="26"/>
        </w:rPr>
      </w:r>
    </w:p>
    <w:p>
      <w:pPr>
        <w:numPr>
          <w:ilvl w:val="0"/>
          <w:numId w:val="17"/>
        </w:numPr>
        <w:contextualSpacing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Зона 54:19-6.147 - Охранная зона волоконно-оптической линии связи (ВОЛС) "Новосибирск-ОрдынскоеКарасук" ПАО "Мобильные ТелеСистемы" в границах Новосибирского района Новосибирской области ;</w:t>
      </w:r>
      <w:r>
        <w:rPr>
          <w:sz w:val="26"/>
          <w:szCs w:val="26"/>
        </w:rPr>
      </w:r>
    </w:p>
    <w:p>
      <w:pPr>
        <w:numPr>
          <w:ilvl w:val="0"/>
          <w:numId w:val="18"/>
        </w:numPr>
        <w:contextualSpacing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</w:t>
      </w:r>
      <w:r>
        <w:rPr>
          <w:sz w:val="26"/>
          <w:szCs w:val="26"/>
        </w:rPr>
        <w:t xml:space="preserve">к частично расположен в охранной зоне ЛЭП 0.4 кВ (54:19:062302:484 - Ответвление - 0,4 СИП от КТПН – 782, 1.1. Cооружения электроэнергетики), охранной зоне ЛЭП 10 и 0.4 кВ, охранной зоне линий связи и линий радиофикации, зоне санитарной охраны канализации;</w:t>
      </w:r>
      <w:r>
        <w:rPr>
          <w:sz w:val="26"/>
          <w:szCs w:val="26"/>
        </w:rPr>
      </w:r>
    </w:p>
    <w:p>
      <w:pPr>
        <w:pStyle w:val="761"/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 полностью расположен в границах полос воздушных подходов аэродрома Новосибирск (Толмачево) – (ПВП), а также приаэродромной территории аэропорта Толмачево (30 км от КТА) - Аэродром Новосибирск (Толмачево).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Дополнительные сведения о земельном участке:</w:t>
      </w:r>
      <w:r>
        <w:rPr>
          <w:sz w:val="26"/>
          <w:szCs w:val="26"/>
        </w:rPr>
        <w:t xml:space="preserve"> вблизи земельного участка расположена автозаправочная станция. Размер санитарнозащитной зоны (СЗЗ) для автозаправочных станций согласно СанПиН 2.2.1/2.1.1.1200-03 составляет: 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для станций четвёртого класса - 100 м; 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для станций пятого класса - 50 м.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 этом криогенные автозаправочные станции, предназначенные для заправки транспортных средств сжиженным природным газом, с объёмом хранения от 50 до 100 м³ относятся к четвёртому классу, а с объёмом не более 50 м³ - к пятому. 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Размер СЗЗ устанавливается в каждом конкретном случае на основании расчётов рассеивания</w:t>
      </w:r>
      <w:r>
        <w:rPr>
          <w:sz w:val="26"/>
          <w:szCs w:val="26"/>
        </w:rPr>
        <w:t xml:space="preserve"> загрязнения атмосферного воздуха и физических факторов (шума, вибрации, электромагнитных полей и др.) с последующим проведением натурных исследований и измерений. (Сведения о границах охранной зоны не внесены в Единый государственный реестр недвижимости).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Кроме того, согл</w:t>
      </w:r>
      <w:r>
        <w:rPr>
          <w:sz w:val="26"/>
          <w:szCs w:val="26"/>
        </w:rPr>
        <w:t xml:space="preserve">асно сведениям Единого государственного реестра недвижимости, в границах земельного участка зарегистрировано сооружение с кадастровым номером 54:19:062302:484 «Ответвление - 0,4 СИП от КТПН – 782, (1.1. Сооружения электроэнергетики), протяженность – 22 м».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Также, на участке расположены нестационарные объекты (металлические контейнеры).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 частично</w:t>
      </w:r>
      <w:r>
        <w:t xml:space="preserve"> </w:t>
      </w:r>
      <w:r>
        <w:rPr>
          <w:sz w:val="26"/>
          <w:szCs w:val="26"/>
        </w:rPr>
        <w:t xml:space="preserve">огорожен.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Освобождение земельного участка от нестационарных объектов арендатор осуществляет самостоятельно.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b/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обеспечения доступа к участию в электронном аукционе Претенденту необходимо пройти процедуру р</w:t>
      </w:r>
      <w:r>
        <w:rPr>
          <w:bCs/>
          <w:sz w:val="26"/>
          <w:szCs w:val="26"/>
        </w:rPr>
        <w:t xml:space="preserve">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Пройд</w:t>
      </w:r>
      <w:r>
        <w:rPr>
          <w:bCs/>
          <w:sz w:val="26"/>
          <w:szCs w:val="26"/>
        </w:rPr>
        <w:t xml:space="preserve">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После регистраци</w:t>
      </w:r>
      <w:r>
        <w:rPr>
          <w:bCs/>
          <w:sz w:val="26"/>
          <w:szCs w:val="26"/>
        </w:rPr>
        <w:t xml:space="preserve">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случае если Пр</w:t>
      </w:r>
      <w:r>
        <w:rPr>
          <w:bCs/>
          <w:sz w:val="26"/>
          <w:szCs w:val="26"/>
        </w:rPr>
        <w:t xml:space="preserve">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</w:t>
      </w:r>
      <w:r>
        <w:rPr>
          <w:bCs/>
          <w:sz w:val="26"/>
          <w:szCs w:val="26"/>
        </w:rPr>
        <w:t xml:space="preserve">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обеспечения доступа к под</w:t>
      </w:r>
      <w:r>
        <w:rPr>
          <w:bCs/>
          <w:sz w:val="26"/>
          <w:szCs w:val="26"/>
        </w:rPr>
        <w:t xml:space="preserve">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bCs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bCs/>
          <w:sz w:val="26"/>
          <w:szCs w:val="26"/>
        </w:rPr>
        <w:t xml:space="preserve">по адресу: </w:t>
      </w:r>
      <w:hyperlink r:id="rId16" w:tooltip="https://www.rts-tender.ru/platform-rules/platform-property-sales" w:history="1">
        <w:r>
          <w:rPr>
            <w:bCs/>
            <w:color w:val="0000ff"/>
            <w:sz w:val="26"/>
            <w:szCs w:val="26"/>
            <w:u w:val="single"/>
          </w:rPr>
          <w:t xml:space="preserve">https://www.rts-tender.ru/platform-rules/platform-property-sales</w:t>
        </w:r>
      </w:hyperlink>
      <w:r>
        <w:rPr>
          <w:bCs/>
          <w:color w:val="0000ff"/>
          <w:sz w:val="26"/>
          <w:szCs w:val="26"/>
          <w:u w:val="single"/>
        </w:rPr>
        <w:t xml:space="preserve"> 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7" w:tooltip="https://www.rts-tender.ru/tariffs/platform-property-sales-tariffs" w:history="1">
        <w:r>
          <w:rPr>
            <w:color w:val="0000ff"/>
            <w:sz w:val="26"/>
            <w:szCs w:val="26"/>
            <w:u w:val="single"/>
          </w:rPr>
          <w:t xml:space="preserve">https://www.rts-tender.ru/tariffs/platform-property-sales-tariffs</w:t>
        </w:r>
      </w:hyperlink>
      <w:r>
        <w:rPr>
          <w:sz w:val="26"/>
          <w:szCs w:val="26"/>
        </w:rPr>
        <w:t xml:space="preserve">. Размер тарифа – 1% от начальной цены имущества и не более 7 500 рублей, без учета НДС.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</w:t>
      </w:r>
      <w:r>
        <w:rPr>
          <w:sz w:val="26"/>
          <w:szCs w:val="26"/>
        </w:rPr>
        <w:t xml:space="preserve">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</w:t>
      </w:r>
      <w:r>
        <w:rPr>
          <w:sz w:val="26"/>
          <w:szCs w:val="26"/>
        </w:rPr>
        <w:t xml:space="preserve">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  <w:r/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Заключение договора</w:t>
      </w:r>
      <w:r>
        <w:t xml:space="preserve"> </w:t>
      </w:r>
      <w:r>
        <w:rPr>
          <w:b/>
          <w:bCs/>
          <w:sz w:val="26"/>
          <w:szCs w:val="26"/>
        </w:rPr>
        <w:t xml:space="preserve">в электронной форме:</w:t>
      </w:r>
      <w:r>
        <w:rPr>
          <w:b/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Начальная цена предмета аукциона: </w:t>
      </w:r>
      <w:r>
        <w:rPr>
          <w:bCs/>
          <w:sz w:val="26"/>
          <w:szCs w:val="26"/>
        </w:rPr>
        <w:t xml:space="preserve">644 000 (шестьсот сорок четыре тысячи)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32 200 (тридцать две тысячи двести) рублей 00 копеек.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согласно Правилам землепользования и застройки Верх-Тулинского сельсовета Новосибирского района Новосибирской области, утвержденными приказом министерства строительства Новосибирской области от 24.07.2017 № 256 (ред. от 05.12.2025):</w:t>
      </w:r>
      <w:r>
        <w:rPr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9"/>
        <w:gridCol w:w="741"/>
        <w:gridCol w:w="781"/>
        <w:gridCol w:w="1694"/>
        <w:gridCol w:w="650"/>
        <w:gridCol w:w="650"/>
        <w:gridCol w:w="1694"/>
        <w:gridCol w:w="1692"/>
      </w:tblGrid>
      <w:tr>
        <w:tblPrEx/>
        <w:trPr>
          <w:tblHeader/>
        </w:trPr>
        <w:tc>
          <w:tcPr>
            <w:tcW w:w="91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территориальная зона/вида </w:t>
            </w:r>
            <w:r>
              <w:t xml:space="preserve">разрешенного</w:t>
            </w:r>
            <w:r/>
          </w:p>
          <w:p>
            <w:pPr>
              <w:jc w:val="center"/>
            </w:pPr>
            <w:r>
              <w:t xml:space="preserve">использования (код вида)</w:t>
            </w:r>
            <w:r/>
          </w:p>
        </w:tc>
        <w:tc>
          <w:tcPr>
            <w:gridSpan w:val="7"/>
            <w:shd w:val="clear" w:color="auto" w:fill="ffffff"/>
            <w:tcW w:w="408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/>
          </w:p>
        </w:tc>
      </w:tr>
      <w:tr>
        <w:tblPrEx/>
        <w:trPr>
          <w:trHeight w:val="849"/>
          <w:tblHeader/>
        </w:trPr>
        <w:tc>
          <w:tcPr>
            <w:tcW w:w="91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W w:w="36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min, (га)</w:t>
            </w:r>
            <w:r/>
          </w:p>
        </w:tc>
        <w:tc>
          <w:tcPr>
            <w:shd w:val="clear" w:color="auto" w:fill="ffffff"/>
            <w:tcW w:w="38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max, (га)</w:t>
            </w:r>
            <w:r/>
          </w:p>
        </w:tc>
        <w:tc>
          <w:tcPr>
            <w:shd w:val="clear" w:color="auto" w:fill="ffffff"/>
            <w:tcW w:w="89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Отступ  min, (м)</w:t>
            </w:r>
            <w:r/>
          </w:p>
        </w:tc>
        <w:tc>
          <w:tcPr>
            <w:shd w:val="clear" w:color="auto" w:fill="ffffff"/>
            <w:tcW w:w="32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min</w:t>
            </w:r>
            <w:r/>
          </w:p>
        </w:tc>
        <w:tc>
          <w:tcPr>
            <w:shd w:val="clear" w:color="auto" w:fill="ffffff"/>
            <w:tcW w:w="32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max</w:t>
            </w:r>
            <w:r/>
          </w:p>
        </w:tc>
        <w:tc>
          <w:tcPr>
            <w:shd w:val="clear" w:color="auto" w:fill="ffffff"/>
            <w:tcW w:w="89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min, (%)</w:t>
            </w:r>
            <w:r/>
          </w:p>
        </w:tc>
        <w:tc>
          <w:tcPr>
            <w:shd w:val="clear" w:color="auto" w:fill="ffffff"/>
            <w:tcW w:w="89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max, (%)</w:t>
            </w:r>
            <w:r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"/>
        </w:trPr>
        <w:tc>
          <w:tcPr>
            <w:tcW w:w="917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Обеспечение дорожного отдыха (4.9.1.2)</w:t>
            </w:r>
            <w:r>
              <w:rPr>
                <w:color w:val="000000"/>
              </w:rPr>
            </w:r>
          </w:p>
        </w:tc>
        <w:tc>
          <w:tcPr>
            <w:tcW w:w="369" w:type="pct"/>
            <w:textDirection w:val="lrTb"/>
            <w:noWrap w:val="false"/>
          </w:tcPr>
          <w:p>
            <w:pPr>
              <w:jc w:val="center"/>
              <w:spacing w:after="1" w:line="220" w:lineRule="auto"/>
            </w:pPr>
            <w:r>
              <w:t xml:space="preserve">0,01</w:t>
            </w:r>
            <w:r/>
          </w:p>
        </w:tc>
        <w:tc>
          <w:tcPr>
            <w:tcW w:w="389" w:type="pct"/>
            <w:textDirection w:val="lrTb"/>
            <w:noWrap w:val="false"/>
          </w:tcPr>
          <w:p>
            <w:pPr>
              <w:jc w:val="center"/>
              <w:spacing w:after="1" w:line="220" w:lineRule="auto"/>
            </w:pPr>
            <w:r>
              <w:t xml:space="preserve">5,0</w:t>
            </w:r>
            <w:r/>
          </w:p>
        </w:tc>
        <w:tc>
          <w:tcPr>
            <w:tcW w:w="892" w:type="pct"/>
            <w:textDirection w:val="lrTb"/>
            <w:noWrap w:val="false"/>
          </w:tcPr>
          <w:p>
            <w:pPr>
              <w:jc w:val="center"/>
              <w:spacing w:after="1" w:line="220" w:lineRule="auto"/>
            </w:pPr>
            <w:r>
              <w:t xml:space="preserve">3</w:t>
            </w:r>
            <w:r/>
          </w:p>
        </w:tc>
        <w:tc>
          <w:tcPr>
            <w:tcW w:w="325" w:type="pct"/>
            <w:textDirection w:val="lrTb"/>
            <w:noWrap w:val="false"/>
          </w:tcPr>
          <w:p>
            <w:pPr>
              <w:jc w:val="center"/>
              <w:spacing w:after="1" w:line="220" w:lineRule="auto"/>
            </w:pPr>
            <w:r>
              <w:t xml:space="preserve">1</w:t>
            </w:r>
            <w:r/>
          </w:p>
        </w:tc>
        <w:tc>
          <w:tcPr>
            <w:tcW w:w="325" w:type="pct"/>
            <w:textDirection w:val="lrTb"/>
            <w:noWrap w:val="false"/>
          </w:tcPr>
          <w:p>
            <w:pPr>
              <w:jc w:val="center"/>
              <w:spacing w:after="1" w:line="220" w:lineRule="auto"/>
            </w:pPr>
            <w:r>
              <w:t xml:space="preserve">4</w:t>
            </w:r>
            <w:r/>
          </w:p>
        </w:tc>
        <w:tc>
          <w:tcPr>
            <w:tcW w:w="892" w:type="pct"/>
            <w:textDirection w:val="lrTb"/>
            <w:noWrap w:val="false"/>
          </w:tcPr>
          <w:p>
            <w:pPr>
              <w:jc w:val="center"/>
              <w:spacing w:after="1" w:line="220" w:lineRule="auto"/>
            </w:pPr>
            <w:r>
              <w:t xml:space="preserve">20</w:t>
            </w:r>
            <w:r/>
          </w:p>
        </w:tc>
        <w:tc>
          <w:tcPr>
            <w:tcW w:w="892" w:type="pct"/>
            <w:textDirection w:val="lrTb"/>
            <w:noWrap w:val="false"/>
          </w:tcPr>
          <w:p>
            <w:pPr>
              <w:jc w:val="center"/>
              <w:spacing w:after="1" w:line="220" w:lineRule="auto"/>
            </w:pPr>
            <w:r>
              <w:t xml:space="preserve">50</w:t>
            </w:r>
            <w:r/>
          </w:p>
        </w:tc>
      </w:tr>
    </w:tbl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/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Сети водоснабжения (холодное) – возможность подключения отсутствует.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Сети водоотведения – возможность подключения отсутствует.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Сети теплоснабжения – возможность подключения отсутствует.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Газоснабжение – подключение возможно к сетям ООО «Техногаз».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Связь – подключение возможно к сетям ООО «Ростелеком».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Порядок, адрес, дата и время начала и окончания приема заявок на участие в аукционе: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Место приема заявок на участие в аукционе</w:t>
      </w:r>
      <w:r>
        <w:rPr>
          <w:bCs/>
          <w:sz w:val="26"/>
          <w:szCs w:val="26"/>
        </w:rPr>
        <w:t xml:space="preserve">: электронная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Дата и время начала приема заявок:</w:t>
      </w:r>
      <w:r>
        <w:rPr>
          <w:bCs/>
          <w:sz w:val="26"/>
          <w:szCs w:val="26"/>
        </w:rPr>
        <w:t xml:space="preserve"> 17 января 2026 года в 00-00 по местному времени. Прием заявок осуществляется круглосуточно.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Дата и время окончания приема заявок:</w:t>
      </w:r>
      <w:r>
        <w:rPr>
          <w:bCs/>
          <w:sz w:val="26"/>
          <w:szCs w:val="26"/>
        </w:rPr>
        <w:t xml:space="preserve"> 05 февраля 2026 года в 00-00 по местному времени.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Дата определения участников аукциона: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06 февраля 2026 года.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</w:t>
      </w:r>
      <w:r>
        <w:rPr>
          <w:sz w:val="26"/>
          <w:szCs w:val="26"/>
        </w:rPr>
        <w:t xml:space="preserve">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bCs/>
          <w:sz w:val="26"/>
          <w:szCs w:val="26"/>
        </w:rPr>
        <w:t xml:space="preserve">09 февраля 2026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</w:p>
    <w:p>
      <w:pPr>
        <w:ind w:firstLine="709"/>
        <w:jc w:val="both"/>
        <w:keepNext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Дата подведения итогов аукциона:</w:t>
      </w:r>
      <w:r>
        <w:rPr>
          <w:bCs/>
          <w:sz w:val="26"/>
          <w:szCs w:val="26"/>
        </w:rPr>
        <w:t xml:space="preserve"> 09 февраля 2026 года.</w:t>
      </w:r>
      <w:r>
        <w:rPr>
          <w:bCs/>
          <w:sz w:val="26"/>
          <w:szCs w:val="26"/>
        </w:rPr>
      </w:r>
    </w:p>
    <w:p>
      <w:pPr>
        <w:ind w:firstLine="709"/>
        <w:jc w:val="both"/>
        <w:keepNext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  <w:r>
        <w:rPr>
          <w:b/>
          <w:bCs/>
          <w:sz w:val="26"/>
          <w:szCs w:val="26"/>
        </w:rPr>
      </w:r>
    </w:p>
    <w:p>
      <w:pPr>
        <w:numPr>
          <w:ilvl w:val="0"/>
          <w:numId w:val="15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bCs/>
          <w:sz w:val="26"/>
          <w:szCs w:val="26"/>
        </w:rPr>
      </w:r>
    </w:p>
    <w:p>
      <w:pPr>
        <w:numPr>
          <w:ilvl w:val="0"/>
          <w:numId w:val="15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sz w:val="26"/>
          <w:szCs w:val="26"/>
        </w:rPr>
      </w:r>
    </w:p>
    <w:p>
      <w:pPr>
        <w:numPr>
          <w:ilvl w:val="0"/>
          <w:numId w:val="15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документы, подтверждающие внесение задатка.</w:t>
      </w:r>
      <w:r>
        <w:rPr>
          <w:bCs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Размер задатка: 644 000 (шестьсот сорок четыре тысячи)</w:t>
      </w:r>
      <w:r>
        <w:rPr>
          <w:bCs/>
          <w:sz w:val="26"/>
          <w:szCs w:val="26"/>
        </w:rPr>
        <w:t xml:space="preserve"> рублей 00 копеек.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МФиНП НСО (ДИиЗО НСО, л/с190010013), ИНН 5406214965 / КПП 540601001, ОКЦ №1 Сибирское ГУ Банка России//УФК по </w:t>
      </w:r>
      <w:r>
        <w:rPr>
          <w:bCs/>
          <w:sz w:val="26"/>
          <w:szCs w:val="26"/>
        </w:rPr>
        <w:t xml:space="preserve">Новосибирской области г.Новосибирск, БИК 015004950, р/с 40102810445370000043, л/с 03222643500000005100, ОКТМО 50701000, КБК 00000000000000000510.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Назначение платежа: задаток для участия в аукционе ДИиЗО НСО, земельный участок с кадастровым номером 54:19:062302:491.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отозвал заявку на участие</w:t>
      </w:r>
      <w:r>
        <w:rPr>
          <w:bCs/>
          <w:sz w:val="26"/>
          <w:szCs w:val="26"/>
        </w:rPr>
        <w:t xml:space="preserve">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</w:t>
      </w:r>
      <w:r>
        <w:rPr>
          <w:bCs/>
          <w:sz w:val="26"/>
          <w:szCs w:val="26"/>
        </w:rPr>
        <w:t xml:space="preserve">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не возвращается в случае уклонения от заключения договора аренды земельного участка: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принявшему участие в аукционе участнику;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участнику, признанному победителем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арендной платы за земельный участок.</w:t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  <w:r>
        <w:rPr>
          <w:b/>
          <w:bCs/>
          <w:sz w:val="26"/>
          <w:szCs w:val="26"/>
        </w:rPr>
      </w:r>
    </w:p>
    <w:p>
      <w:pPr>
        <w:numPr>
          <w:ilvl w:val="0"/>
          <w:numId w:val="16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>
        <w:rPr>
          <w:sz w:val="26"/>
          <w:szCs w:val="26"/>
        </w:rPr>
        <w:t xml:space="preserve">устанавливается по итогам аукциона;</w:t>
      </w:r>
      <w:r>
        <w:rPr>
          <w:sz w:val="26"/>
          <w:szCs w:val="26"/>
        </w:rPr>
      </w:r>
    </w:p>
    <w:p>
      <w:pPr>
        <w:numPr>
          <w:ilvl w:val="0"/>
          <w:numId w:val="16"/>
        </w:numPr>
        <w:ind w:left="0"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bCs/>
          <w:i/>
          <w:iCs/>
          <w:sz w:val="26"/>
          <w:szCs w:val="26"/>
        </w:rPr>
        <w:t xml:space="preserve">66 </w:t>
      </w:r>
      <w:r>
        <w:rPr>
          <w:b/>
          <w:i/>
          <w:sz w:val="26"/>
          <w:szCs w:val="26"/>
        </w:rPr>
        <w:t xml:space="preserve">(шестьдесят шесть) месяцев</w:t>
      </w:r>
      <w:r>
        <w:rPr>
          <w:sz w:val="26"/>
          <w:szCs w:val="26"/>
        </w:rPr>
        <w:t xml:space="preserve"> с даты</w:t>
      </w:r>
      <w:r>
        <w:rPr>
          <w:bCs/>
          <w:sz w:val="26"/>
          <w:szCs w:val="26"/>
        </w:rPr>
        <w:t xml:space="preserve"> заключения договора аренды земельного участка;</w:t>
      </w:r>
      <w:r>
        <w:rPr>
          <w:bCs/>
          <w:sz w:val="26"/>
          <w:szCs w:val="26"/>
        </w:rPr>
      </w:r>
    </w:p>
    <w:p>
      <w:pPr>
        <w:numPr>
          <w:ilvl w:val="0"/>
          <w:numId w:val="16"/>
        </w:numPr>
        <w:ind w:left="0" w:right="-22" w:firstLine="709"/>
        <w:jc w:val="both"/>
        <w:shd w:val="clear" w:color="auto" w:fill="ffffff"/>
        <w:tabs>
          <w:tab w:val="left" w:pos="993" w:leader="none"/>
        </w:tabs>
      </w:pPr>
      <w:r>
        <w:t xml:space="preserve">арендная плата вносится ежеквартально равными частями не позднее первого числа квартала, следующего за расчетным периодом.</w:t>
      </w:r>
      <w:r/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аренды земельного участка: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аренды земельного уча</w:t>
      </w:r>
      <w:r>
        <w:rPr>
          <w:sz w:val="26"/>
          <w:szCs w:val="26"/>
        </w:rPr>
        <w:t xml:space="preserve">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</w:t>
      </w:r>
      <w:r>
        <w:rPr>
          <w:sz w:val="26"/>
          <w:szCs w:val="26"/>
        </w:rPr>
        <w:t xml:space="preserve">аукциона или иным лицам, с которыми заключается договор аренды земельного участка, подписанный проект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</w:t>
      </w:r>
      <w:r>
        <w:rPr>
          <w:bCs/>
          <w:sz w:val="26"/>
          <w:szCs w:val="26"/>
        </w:rPr>
        <w:t xml:space="preserve">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</w:t>
      </w:r>
      <w:r>
        <w:rPr>
          <w:bCs/>
          <w:sz w:val="26"/>
          <w:szCs w:val="26"/>
        </w:rPr>
        <w:t xml:space="preserve">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осуществляется самостоятельно.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8" w:tooltip="http://www.torgi.gov.ru" w:history="1">
        <w:r>
          <w:rPr>
            <w:color w:val="0000ff"/>
            <w:sz w:val="26"/>
            <w:szCs w:val="26"/>
            <w:u w:val="single"/>
            <w:lang w:val="en-US"/>
          </w:rPr>
          <w:t xml:space="preserve">www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torgi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gov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bCs/>
          <w:sz w:val="26"/>
          <w:szCs w:val="26"/>
        </w:rPr>
        <w:t xml:space="preserve"> принимает решение об отказе в проведении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9" w:tooltip="http://www.torgi.gov.ru" w:history="1">
        <w:r>
          <w:rPr>
            <w:color w:val="0000ff"/>
            <w:sz w:val="26"/>
            <w:szCs w:val="26"/>
            <w:u w:val="single"/>
            <w:lang w:val="en-US"/>
          </w:rPr>
          <w:t xml:space="preserve">www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torgi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gov</w:t>
        </w:r>
        <w:r>
          <w:rPr>
            <w:color w:val="0000ff"/>
            <w:sz w:val="26"/>
            <w:szCs w:val="26"/>
            <w:u w:val="single"/>
          </w:rPr>
          <w:t xml:space="preserve">.</w:t>
        </w:r>
        <w:r>
          <w:rPr>
            <w:color w:val="0000ff"/>
            <w:sz w:val="26"/>
            <w:szCs w:val="26"/>
            <w:u w:val="single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аукционе.</w:t>
      </w:r>
      <w:bookmarkStart w:id="0" w:name="_GoBack"/>
      <w:r/>
      <w:bookmarkEnd w:id="0"/>
      <w:r/>
      <w:r>
        <w:rPr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7</w:t>
    </w:r>
    <w:r>
      <w:fldChar w:fldCharType="end"/>
    </w:r>
    <w:r/>
  </w:p>
  <w:p>
    <w:pPr>
      <w:pStyle w:val="77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rPr>
        <w:rStyle w:val="926"/>
      </w:rPr>
      <w:framePr w:wrap="around" w:vAnchor="text" w:hAnchor="margin" w:xAlign="right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>
      <w:rPr>
        <w:rStyle w:val="926"/>
      </w:rPr>
    </w:r>
  </w:p>
  <w:p>
    <w:pPr>
      <w:pStyle w:val="77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right"/>
    </w:pPr>
    <w:r>
      <w:t xml:space="preserve">Протокол № </w:t>
    </w:r>
    <w:r>
      <w:rPr>
        <w:lang w:val="en-US"/>
      </w:rPr>
      <w:t xml:space="preserve">67/1э</w:t>
    </w:r>
    <w:r>
      <w:t xml:space="preserve"> от 17.12.2025</w:t>
    </w:r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845" w:hanging="360"/>
        <w:tabs>
          <w:tab w:val="num" w:pos="84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65" w:hanging="360"/>
        <w:tabs>
          <w:tab w:val="num" w:pos="156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85" w:hanging="360"/>
        <w:tabs>
          <w:tab w:val="num" w:pos="228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5" w:hanging="360"/>
        <w:tabs>
          <w:tab w:val="num" w:pos="300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5" w:hanging="360"/>
        <w:tabs>
          <w:tab w:val="num" w:pos="372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5" w:hanging="360"/>
        <w:tabs>
          <w:tab w:val="num" w:pos="444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5" w:hanging="360"/>
        <w:tabs>
          <w:tab w:val="num" w:pos="516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5" w:hanging="360"/>
        <w:tabs>
          <w:tab w:val="num" w:pos="588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5" w:hanging="360"/>
        <w:tabs>
          <w:tab w:val="num" w:pos="6605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39" w:hanging="360"/>
        <w:tabs>
          <w:tab w:val="num" w:pos="503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5219" w:hanging="360"/>
        <w:tabs>
          <w:tab w:val="num" w:pos="521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939" w:hanging="360"/>
        <w:tabs>
          <w:tab w:val="num" w:pos="593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659" w:hanging="360"/>
        <w:tabs>
          <w:tab w:val="num" w:pos="665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7379" w:hanging="360"/>
        <w:tabs>
          <w:tab w:val="num" w:pos="737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8099" w:hanging="360"/>
        <w:tabs>
          <w:tab w:val="num" w:pos="809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819" w:hanging="360"/>
        <w:tabs>
          <w:tab w:val="num" w:pos="881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539" w:hanging="360"/>
        <w:tabs>
          <w:tab w:val="num" w:pos="953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0259" w:hanging="360"/>
        <w:tabs>
          <w:tab w:val="num" w:pos="10259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39" w:hanging="360"/>
        <w:tabs>
          <w:tab w:val="num" w:pos="503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5219" w:hanging="360"/>
        <w:tabs>
          <w:tab w:val="num" w:pos="521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939" w:hanging="360"/>
        <w:tabs>
          <w:tab w:val="num" w:pos="593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659" w:hanging="360"/>
        <w:tabs>
          <w:tab w:val="num" w:pos="665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7379" w:hanging="360"/>
        <w:tabs>
          <w:tab w:val="num" w:pos="737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8099" w:hanging="360"/>
        <w:tabs>
          <w:tab w:val="num" w:pos="809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819" w:hanging="360"/>
        <w:tabs>
          <w:tab w:val="num" w:pos="881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539" w:hanging="360"/>
        <w:tabs>
          <w:tab w:val="num" w:pos="953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0259" w:hanging="360"/>
        <w:tabs>
          <w:tab w:val="num" w:pos="10259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39" w:hanging="360"/>
        <w:tabs>
          <w:tab w:val="num" w:pos="503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5219" w:hanging="360"/>
        <w:tabs>
          <w:tab w:val="num" w:pos="521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939" w:hanging="360"/>
        <w:tabs>
          <w:tab w:val="num" w:pos="593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659" w:hanging="360"/>
        <w:tabs>
          <w:tab w:val="num" w:pos="665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7379" w:hanging="360"/>
        <w:tabs>
          <w:tab w:val="num" w:pos="737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8099" w:hanging="360"/>
        <w:tabs>
          <w:tab w:val="num" w:pos="809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819" w:hanging="360"/>
        <w:tabs>
          <w:tab w:val="num" w:pos="881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539" w:hanging="360"/>
        <w:tabs>
          <w:tab w:val="num" w:pos="953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0259" w:hanging="360"/>
        <w:tabs>
          <w:tab w:val="num" w:pos="10259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17"/>
  </w:num>
  <w:num w:numId="13">
    <w:abstractNumId w:val="5"/>
  </w:num>
  <w:num w:numId="14">
    <w:abstractNumId w:val="3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9"/>
    <w:link w:val="74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49"/>
    <w:link w:val="763"/>
    <w:uiPriority w:val="10"/>
    <w:rPr>
      <w:sz w:val="48"/>
      <w:szCs w:val="48"/>
    </w:rPr>
  </w:style>
  <w:style w:type="character" w:styleId="37">
    <w:name w:val="Subtitle Char"/>
    <w:basedOn w:val="749"/>
    <w:link w:val="765"/>
    <w:uiPriority w:val="11"/>
    <w:rPr>
      <w:sz w:val="24"/>
      <w:szCs w:val="24"/>
    </w:rPr>
  </w:style>
  <w:style w:type="character" w:styleId="39">
    <w:name w:val="Quote Char"/>
    <w:link w:val="767"/>
    <w:uiPriority w:val="29"/>
    <w:rPr>
      <w:i/>
    </w:rPr>
  </w:style>
  <w:style w:type="character" w:styleId="41">
    <w:name w:val="Intense Quote Char"/>
    <w:link w:val="769"/>
    <w:uiPriority w:val="30"/>
    <w:rPr>
      <w:i/>
    </w:rPr>
  </w:style>
  <w:style w:type="character" w:styleId="43">
    <w:name w:val="Header Char"/>
    <w:basedOn w:val="749"/>
    <w:link w:val="771"/>
    <w:uiPriority w:val="99"/>
  </w:style>
  <w:style w:type="character" w:styleId="47">
    <w:name w:val="Caption Char"/>
    <w:basedOn w:val="749"/>
    <w:link w:val="775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904"/>
    <w:uiPriority w:val="99"/>
    <w:rPr>
      <w:sz w:val="18"/>
    </w:rPr>
  </w:style>
  <w:style w:type="character" w:styleId="179">
    <w:name w:val="Endnote Text Char"/>
    <w:link w:val="907"/>
    <w:uiPriority w:val="99"/>
    <w:rPr>
      <w:sz w:val="20"/>
    </w:rPr>
  </w:style>
  <w:style w:type="paragraph" w:styleId="739" w:default="1">
    <w:name w:val="Normal"/>
    <w:qFormat/>
    <w:rPr>
      <w:sz w:val="24"/>
      <w:szCs w:val="24"/>
      <w:lang w:eastAsia="ru-RU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53"/>
    <w:qFormat/>
    <w:pPr>
      <w:jc w:val="center"/>
      <w:keepNext/>
      <w:outlineLvl w:val="1"/>
    </w:pPr>
    <w:rPr>
      <w:b/>
      <w:bCs/>
      <w:sz w:val="28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link w:val="741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9"/>
    <w:uiPriority w:val="34"/>
    <w:qFormat/>
    <w:pPr>
      <w:contextualSpacing/>
      <w:ind w:left="720"/>
    </w:pPr>
  </w:style>
  <w:style w:type="paragraph" w:styleId="762">
    <w:name w:val="No Spacing"/>
    <w:uiPriority w:val="1"/>
    <w:qFormat/>
  </w:style>
  <w:style w:type="paragraph" w:styleId="763">
    <w:name w:val="Title"/>
    <w:basedOn w:val="739"/>
    <w:next w:val="73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Заголовок Знак"/>
    <w:link w:val="763"/>
    <w:uiPriority w:val="10"/>
    <w:rPr>
      <w:sz w:val="48"/>
      <w:szCs w:val="48"/>
    </w:rPr>
  </w:style>
  <w:style w:type="paragraph" w:styleId="765">
    <w:name w:val="Subtitle"/>
    <w:basedOn w:val="739"/>
    <w:next w:val="739"/>
    <w:link w:val="766"/>
    <w:uiPriority w:val="11"/>
    <w:qFormat/>
    <w:pPr>
      <w:spacing w:before="200" w:after="200"/>
    </w:p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39"/>
    <w:next w:val="73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39"/>
    <w:next w:val="73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39"/>
    <w:link w:val="77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link w:val="771"/>
    <w:uiPriority w:val="99"/>
  </w:style>
  <w:style w:type="paragraph" w:styleId="773">
    <w:name w:val="Footer"/>
    <w:basedOn w:val="739"/>
    <w:link w:val="7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uiPriority w:val="99"/>
  </w:style>
  <w:style w:type="paragraph" w:styleId="775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/>
      <w:u w:val="single"/>
    </w:rPr>
  </w:style>
  <w:style w:type="paragraph" w:styleId="904">
    <w:name w:val="footnote text"/>
    <w:basedOn w:val="739"/>
    <w:link w:val="905"/>
    <w:uiPriority w:val="99"/>
    <w:semiHidden/>
    <w:unhideWhenUsed/>
    <w:pPr>
      <w:spacing w:after="40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39"/>
    <w:link w:val="908"/>
    <w:uiPriority w:val="99"/>
    <w:semiHidden/>
    <w:unhideWhenUsed/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39"/>
    <w:next w:val="739"/>
    <w:uiPriority w:val="39"/>
    <w:unhideWhenUsed/>
    <w:pPr>
      <w:spacing w:after="57"/>
    </w:pPr>
  </w:style>
  <w:style w:type="paragraph" w:styleId="91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39"/>
    <w:next w:val="739"/>
    <w:uiPriority w:val="99"/>
    <w:unhideWhenUsed/>
  </w:style>
  <w:style w:type="paragraph" w:styleId="921">
    <w:name w:val="Body Text Indent"/>
    <w:basedOn w:val="739"/>
    <w:pPr>
      <w:ind w:left="485"/>
    </w:pPr>
  </w:style>
  <w:style w:type="character" w:styleId="922">
    <w:name w:val="Strong"/>
    <w:qFormat/>
    <w:rPr>
      <w:b/>
      <w:bCs/>
    </w:rPr>
  </w:style>
  <w:style w:type="paragraph" w:styleId="923">
    <w:name w:val="Balloon Text"/>
    <w:basedOn w:val="739"/>
    <w:semiHidden/>
    <w:rPr>
      <w:rFonts w:ascii="Tahoma" w:hAnsi="Tahoma" w:cs="Tahoma"/>
      <w:sz w:val="16"/>
      <w:szCs w:val="16"/>
    </w:rPr>
  </w:style>
  <w:style w:type="paragraph" w:styleId="924">
    <w:name w:val="Normal (Web)"/>
    <w:basedOn w:val="739"/>
    <w:link w:val="925"/>
    <w:pPr>
      <w:spacing w:before="100" w:beforeAutospacing="1" w:after="100" w:afterAutospacing="1"/>
    </w:pPr>
    <w:rPr>
      <w:lang w:val="en-US" w:eastAsia="en-US"/>
    </w:rPr>
  </w:style>
  <w:style w:type="character" w:styleId="925" w:customStyle="1">
    <w:name w:val="Обычный (веб) Знак"/>
    <w:link w:val="924"/>
    <w:rPr>
      <w:sz w:val="24"/>
      <w:szCs w:val="24"/>
    </w:rPr>
  </w:style>
  <w:style w:type="character" w:styleId="926">
    <w:name w:val="page number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://dizo.nso.ru" TargetMode="External"/><Relationship Id="rId13" Type="http://schemas.openxmlformats.org/officeDocument/2006/relationships/hyperlink" Target="mailto:dgi@nso.ru" TargetMode="External"/><Relationship Id="rId14" Type="http://schemas.openxmlformats.org/officeDocument/2006/relationships/hyperlink" Target="http://www.rts-tender.ru" TargetMode="External"/><Relationship Id="rId15" Type="http://schemas.openxmlformats.org/officeDocument/2006/relationships/hyperlink" Target="mailto:iSupport@rts-tender.ru" TargetMode="External"/><Relationship Id="rId16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hyperlink" Target="http://www.torgi.gov.ru" TargetMode="External"/><Relationship Id="rId19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sasdv</cp:lastModifiedBy>
  <cp:revision>135</cp:revision>
  <dcterms:created xsi:type="dcterms:W3CDTF">2015-10-22T08:40:00Z</dcterms:created>
  <dcterms:modified xsi:type="dcterms:W3CDTF">2026-01-16T06:34:28Z</dcterms:modified>
  <cp:version>1048576</cp:version>
</cp:coreProperties>
</file>