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39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39"/>
            <w:sz w:val="26"/>
            <w:szCs w:val="26"/>
            <w:lang w:val="en-US"/>
          </w:rPr>
          <w:t xml:space="preserve">dgi</w:t>
        </w:r>
        <w:r>
          <w:rPr>
            <w:rStyle w:val="939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04.12.2025 № 3777 «О проведении аукциона на право заключения договора аренды земельного участка с кадастровым номером 54:19:030301:1203».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Оператор электронной площадки:</w:t>
      </w:r>
      <w:r>
        <w:rPr>
          <w:rStyle w:val="931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31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39"/>
            <w:sz w:val="26"/>
            <w:szCs w:val="26"/>
          </w:rPr>
          <w:t xml:space="preserve">www.rts-tender.ru</w:t>
        </w:r>
      </w:hyperlink>
      <w:r>
        <w:rPr>
          <w:rStyle w:val="931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39"/>
            <w:sz w:val="26"/>
            <w:szCs w:val="26"/>
          </w:rPr>
          <w:t xml:space="preserve">iSupport@rts-tender.ru</w:t>
        </w:r>
      </w:hyperlink>
      <w:r>
        <w:rPr>
          <w:rStyle w:val="931"/>
          <w:b w:val="0"/>
          <w:sz w:val="26"/>
          <w:szCs w:val="26"/>
        </w:rPr>
        <w:t xml:space="preserve">, телефон: +7 (499) 653-55-00.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Форма торгов: </w:t>
      </w:r>
      <w:r>
        <w:rPr>
          <w:rStyle w:val="931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24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31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</w:t>
      </w:r>
      <w:r>
        <w:rPr>
          <w:sz w:val="26"/>
          <w:szCs w:val="26"/>
        </w:rPr>
        <w:t xml:space="preserve">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</w:t>
      </w:r>
      <w:r>
        <w:rPr>
          <w:sz w:val="26"/>
          <w:szCs w:val="26"/>
        </w:rPr>
        <w:t xml:space="preserve">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31"/>
          <w:sz w:val="26"/>
          <w:szCs w:val="26"/>
        </w:rPr>
      </w:pPr>
      <w:r>
        <w:rPr>
          <w:rStyle w:val="931"/>
          <w:sz w:val="26"/>
          <w:szCs w:val="26"/>
        </w:rPr>
        <w:t xml:space="preserve">Лот № 1</w:t>
      </w:r>
      <w:r>
        <w:rPr>
          <w:rStyle w:val="931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54:19:030301:1203, площадью 1082 </w:t>
      </w:r>
      <w:r>
        <w:rPr>
          <w:sz w:val="26"/>
          <w:szCs w:val="26"/>
        </w:rPr>
        <w:t xml:space="preserve">кв.м</w:t>
      </w:r>
      <w:r>
        <w:rPr>
          <w:sz w:val="26"/>
          <w:szCs w:val="26"/>
        </w:rPr>
        <w:t xml:space="preserve">, местоположение: Российская Федерация, Новосибирская область, Новосибирский район, </w:t>
      </w:r>
      <w:r>
        <w:rPr>
          <w:sz w:val="26"/>
          <w:szCs w:val="26"/>
        </w:rPr>
        <w:t xml:space="preserve">Толмачевский</w:t>
      </w:r>
      <w:r>
        <w:rPr>
          <w:sz w:val="26"/>
          <w:szCs w:val="26"/>
        </w:rPr>
        <w:t xml:space="preserve"> сельсовет, д. Алексеевка,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bCs w:val="0"/>
          <w:sz w:val="26"/>
          <w:szCs w:val="26"/>
        </w:rPr>
      </w:pPr>
      <w:r>
        <w:rPr>
          <w:rStyle w:val="931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931"/>
          <w:b w:val="0"/>
          <w:bCs w:val="0"/>
          <w:sz w:val="26"/>
          <w:szCs w:val="26"/>
        </w:rPr>
      </w:r>
    </w:p>
    <w:p>
      <w:pPr>
        <w:pStyle w:val="936"/>
        <w:numPr>
          <w:ilvl w:val="0"/>
          <w:numId w:val="23"/>
        </w:numPr>
        <w:ind w:left="0" w:firstLine="567"/>
        <w:jc w:val="both"/>
        <w:rPr>
          <w:rStyle w:val="931"/>
          <w:b w:val="0"/>
          <w:bCs w:val="0"/>
          <w:sz w:val="26"/>
          <w:szCs w:val="26"/>
        </w:rPr>
      </w:pPr>
      <w:r>
        <w:rPr>
          <w:rStyle w:val="931"/>
          <w:b w:val="0"/>
          <w:bCs w:val="0"/>
          <w:sz w:val="26"/>
          <w:szCs w:val="26"/>
        </w:rPr>
        <w:t xml:space="preserve">Земельный участок полностью расположен в границах полос воздушных подходов аэродрома Новосибирск (Толмачево) - (ПВП);</w:t>
      </w:r>
      <w:r>
        <w:rPr>
          <w:rStyle w:val="931"/>
          <w:b w:val="0"/>
          <w:bCs w:val="0"/>
          <w:sz w:val="26"/>
          <w:szCs w:val="26"/>
        </w:rPr>
      </w:r>
    </w:p>
    <w:p>
      <w:pPr>
        <w:pStyle w:val="936"/>
        <w:numPr>
          <w:ilvl w:val="0"/>
          <w:numId w:val="23"/>
        </w:numPr>
        <w:ind w:left="0" w:firstLine="567"/>
        <w:jc w:val="both"/>
        <w:rPr>
          <w:rStyle w:val="931"/>
          <w:b w:val="0"/>
          <w:bCs w:val="0"/>
          <w:sz w:val="26"/>
          <w:szCs w:val="26"/>
        </w:rPr>
      </w:pPr>
      <w:r>
        <w:rPr>
          <w:rStyle w:val="931"/>
          <w:b w:val="0"/>
          <w:bCs w:val="0"/>
          <w:sz w:val="26"/>
          <w:szCs w:val="26"/>
        </w:rPr>
        <w:t xml:space="preserve">Земельный участок полностью расположен в </w:t>
      </w:r>
      <w:r>
        <w:rPr>
          <w:rStyle w:val="931"/>
          <w:b w:val="0"/>
          <w:bCs w:val="0"/>
          <w:sz w:val="26"/>
          <w:szCs w:val="26"/>
        </w:rPr>
        <w:t xml:space="preserve">приародромной</w:t>
      </w:r>
      <w:r>
        <w:rPr>
          <w:rStyle w:val="931"/>
          <w:b w:val="0"/>
          <w:bCs w:val="0"/>
          <w:sz w:val="26"/>
          <w:szCs w:val="26"/>
        </w:rPr>
        <w:t xml:space="preserve"> территории аэропорта Толмачево (30 км от КТА).</w:t>
      </w:r>
      <w:r>
        <w:rPr>
          <w:rStyle w:val="931"/>
          <w:b w:val="0"/>
          <w:bCs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 </w:t>
      </w:r>
      <w:r>
        <w:rPr>
          <w:sz w:val="26"/>
          <w:szCs w:val="26"/>
        </w:rPr>
        <w:t xml:space="preserve">не установлены.</w:t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1"/>
          <w:sz w:val="26"/>
          <w:szCs w:val="26"/>
        </w:rPr>
      </w:pPr>
      <w:r>
        <w:rPr>
          <w:rStyle w:val="931"/>
          <w:sz w:val="26"/>
          <w:szCs w:val="26"/>
        </w:rPr>
        <w:t xml:space="preserve">Требование к участникам аукциона:</w:t>
      </w:r>
      <w:r>
        <w:rPr>
          <w:rStyle w:val="93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sz w:val="26"/>
          <w:szCs w:val="26"/>
        </w:rPr>
      </w:pPr>
      <w:r>
        <w:rPr>
          <w:rStyle w:val="931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3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rStyle w:val="931"/>
          <w:b w:val="0"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Пройд</w:t>
      </w:r>
      <w:r>
        <w:rPr>
          <w:rStyle w:val="931"/>
          <w:b w:val="0"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После регистраци</w:t>
      </w:r>
      <w:r>
        <w:rPr>
          <w:rStyle w:val="931"/>
          <w:b w:val="0"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</w:t>
      </w:r>
      <w:r>
        <w:rPr>
          <w:rStyle w:val="931"/>
          <w:b w:val="0"/>
          <w:sz w:val="26"/>
          <w:szCs w:val="26"/>
        </w:rPr>
        <w:t xml:space="preserve">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</w:t>
      </w:r>
      <w:r>
        <w:rPr>
          <w:rStyle w:val="931"/>
          <w:b w:val="0"/>
          <w:sz w:val="26"/>
          <w:szCs w:val="26"/>
        </w:rPr>
        <w:t xml:space="preserve">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31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Для обеспечения доступа к под</w:t>
      </w:r>
      <w:r>
        <w:rPr>
          <w:rStyle w:val="931"/>
          <w:b w:val="0"/>
          <w:sz w:val="26"/>
          <w:szCs w:val="26"/>
        </w:rPr>
        <w:t xml:space="preserve">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31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31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39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39"/>
          <w:bCs/>
          <w:sz w:val="26"/>
          <w:szCs w:val="26"/>
        </w:rPr>
        <w:t xml:space="preserve"> </w:t>
      </w:r>
      <w:r>
        <w:rPr>
          <w:rStyle w:val="931"/>
          <w:b w:val="0"/>
          <w:sz w:val="26"/>
          <w:szCs w:val="26"/>
        </w:rPr>
        <w:t xml:space="preserve">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39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39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31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sz w:val="26"/>
          <w:szCs w:val="26"/>
        </w:rPr>
      </w:pPr>
      <w:r>
        <w:rPr>
          <w:rStyle w:val="931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31"/>
          <w:sz w:val="26"/>
          <w:szCs w:val="26"/>
        </w:rPr>
        <w:t xml:space="preserve">в электронной форме:</w:t>
      </w:r>
      <w:r>
        <w:rPr>
          <w:rStyle w:val="93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3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1"/>
          <w:sz w:val="26"/>
          <w:szCs w:val="26"/>
        </w:rPr>
        <w:t xml:space="preserve">Начальная цена предмета аукциона: </w:t>
      </w:r>
      <w:r>
        <w:rPr>
          <w:rStyle w:val="931"/>
          <w:b w:val="0"/>
          <w:sz w:val="26"/>
          <w:szCs w:val="26"/>
        </w:rPr>
        <w:t xml:space="preserve">115 000 (сто пятнадцать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5 750 (пять тысяч семьсот пятьдесят)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</w:t>
      </w:r>
      <w:r>
        <w:rPr>
          <w:sz w:val="26"/>
          <w:szCs w:val="26"/>
        </w:rPr>
        <w:t xml:space="preserve">Толмачевского</w:t>
      </w:r>
      <w:r>
        <w:rPr>
          <w:sz w:val="26"/>
          <w:szCs w:val="26"/>
        </w:rPr>
        <w:t xml:space="preserve"> сельсовета Новосибирского района Новосибирской области </w:t>
      </w:r>
      <w:r>
        <w:rPr>
          <w:sz w:val="26"/>
          <w:szCs w:val="26"/>
        </w:rPr>
        <w:t xml:space="preserve">утвержденными приказом министерства строительства Новосибирской области 08.06.2018 № 269 (ред. от 25.08.2025):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ffffff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(%)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(%)</w:t>
            </w:r>
            <w:r/>
          </w:p>
        </w:tc>
      </w:tr>
      <w:tr>
        <w:tblPrEx/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54"/>
            </w:pPr>
            <w:r>
              <w:rPr>
                <w:color w:val="auto"/>
              </w:rPr>
              <w:t xml:space="preserve">Для ведения личного подсобного хозяйства (2.2)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  <w:vertAlign w:val="superscript"/>
              </w:rPr>
            </w:pPr>
            <w:r>
              <w:rPr>
                <w:szCs w:val="32"/>
              </w:rPr>
              <w:t xml:space="preserve">0,08</w:t>
            </w:r>
            <w:r>
              <w:rPr>
                <w:sz w:val="32"/>
                <w:szCs w:val="40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jc w:val="center"/>
              <w:rPr>
                <w:szCs w:val="32"/>
                <w:vertAlign w:val="superscript"/>
              </w:rPr>
            </w:pPr>
            <w:r>
              <w:rPr>
                <w:szCs w:val="32"/>
              </w:rPr>
              <w:t xml:space="preserve">0,3</w:t>
            </w:r>
            <w:r>
              <w:rPr>
                <w:szCs w:val="3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25</w:t>
            </w:r>
            <w:r>
              <w:rPr>
                <w:sz w:val="32"/>
                <w:szCs w:val="40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– возможно подключение к сетям МУП ТВК Толмачево;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rStyle w:val="931"/>
          <w:b w:val="0"/>
          <w:sz w:val="26"/>
          <w:szCs w:val="26"/>
        </w:rPr>
        <w:t xml:space="preserve"> 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Место приема заявок на участие в аукционе</w:t>
      </w:r>
      <w:r>
        <w:rPr>
          <w:rStyle w:val="931"/>
          <w:b w:val="0"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31"/>
          <w:b w:val="0"/>
          <w:sz w:val="26"/>
          <w:szCs w:val="26"/>
        </w:rPr>
        <w:t xml:space="preserve"> 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Дата и время начала приема заявок:</w:t>
      </w:r>
      <w:r>
        <w:rPr>
          <w:rStyle w:val="931"/>
          <w:b w:val="0"/>
          <w:sz w:val="26"/>
          <w:szCs w:val="26"/>
        </w:rPr>
        <w:t xml:space="preserve"> </w:t>
      </w:r>
      <w:r>
        <w:rPr>
          <w:rStyle w:val="931"/>
          <w:b w:val="0"/>
          <w:sz w:val="26"/>
          <w:szCs w:val="26"/>
        </w:rPr>
        <w:t xml:space="preserve">03 марта</w:t>
      </w:r>
      <w:r>
        <w:rPr>
          <w:rStyle w:val="931"/>
          <w:b w:val="0"/>
          <w:sz w:val="26"/>
          <w:szCs w:val="26"/>
        </w:rPr>
        <w:t xml:space="preserve"> 2026 года в 00-00 по местному времени. Прием заявок осуществляется круглосуточно.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Дата и время окончания приема заявок:</w:t>
      </w:r>
      <w:r>
        <w:rPr>
          <w:rStyle w:val="931"/>
          <w:b w:val="0"/>
          <w:sz w:val="26"/>
          <w:szCs w:val="26"/>
        </w:rPr>
        <w:t xml:space="preserve"> 20 марта 2026 года до 00-00 по местному времени.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31"/>
          <w:sz w:val="26"/>
          <w:szCs w:val="26"/>
        </w:rPr>
        <w:t xml:space="preserve">определения участников аукциона:</w:t>
      </w:r>
      <w:r>
        <w:rPr>
          <w:rStyle w:val="931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23 марта 2026 года.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31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31"/>
          <w:b w:val="0"/>
          <w:sz w:val="26"/>
          <w:szCs w:val="26"/>
        </w:rPr>
        <w:t xml:space="preserve">24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31"/>
          <w:b w:val="0"/>
          <w:sz w:val="26"/>
          <w:szCs w:val="26"/>
        </w:rPr>
        <w:t xml:space="preserve"> 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Дата подведения итогов аукциона:</w:t>
      </w:r>
      <w:r>
        <w:rPr>
          <w:rStyle w:val="931"/>
          <w:b w:val="0"/>
          <w:sz w:val="26"/>
          <w:szCs w:val="26"/>
        </w:rPr>
        <w:t xml:space="preserve"> 24 марта 2026 года.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1"/>
          <w:sz w:val="26"/>
          <w:szCs w:val="26"/>
        </w:rPr>
        <w:outlineLvl w:val="0"/>
      </w:pPr>
      <w:r>
        <w:rPr>
          <w:rStyle w:val="931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31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31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1"/>
          <w:b w:val="0"/>
          <w:bCs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31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31"/>
          <w:b w:val="0"/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31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1"/>
          <w:b w:val="0"/>
          <w:sz w:val="26"/>
          <w:szCs w:val="26"/>
        </w:rPr>
      </w:pPr>
      <w:r>
        <w:rPr>
          <w:rStyle w:val="931"/>
          <w:sz w:val="26"/>
          <w:szCs w:val="26"/>
        </w:rPr>
        <w:t xml:space="preserve">Размер задатка: 115 000 (сто пятнадцать </w:t>
      </w:r>
      <w:r>
        <w:rPr>
          <w:rStyle w:val="931"/>
          <w:sz w:val="26"/>
          <w:szCs w:val="26"/>
        </w:rPr>
        <w:t xml:space="preserve">тысяч) </w:t>
      </w:r>
      <w:r>
        <w:rPr>
          <w:rStyle w:val="931"/>
          <w:b w:val="0"/>
          <w:sz w:val="26"/>
          <w:szCs w:val="26"/>
        </w:rPr>
        <w:t xml:space="preserve"> рублей</w:t>
      </w:r>
      <w:r>
        <w:rPr>
          <w:rStyle w:val="931"/>
          <w:b w:val="0"/>
          <w:sz w:val="26"/>
          <w:szCs w:val="26"/>
        </w:rPr>
        <w:t xml:space="preserve"> 00 копеек.</w:t>
      </w:r>
      <w:r>
        <w:rPr>
          <w:rStyle w:val="931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31"/>
          <w:b w:val="0"/>
          <w:sz w:val="26"/>
          <w:szCs w:val="26"/>
        </w:rPr>
        <w:t xml:space="preserve">МФиНП</w:t>
      </w:r>
      <w:r>
        <w:rPr>
          <w:rStyle w:val="931"/>
          <w:b w:val="0"/>
          <w:sz w:val="26"/>
          <w:szCs w:val="26"/>
        </w:rPr>
        <w:t xml:space="preserve"> НСО (ДИиЗО НСО, л/с190010013), ИНН 5406214965 / КПП 540601001, ОКЦ № 1 Сибирское ГУ Банка России//УФК по Новосибирской области </w:t>
      </w:r>
      <w:r>
        <w:rPr>
          <w:rStyle w:val="931"/>
          <w:b w:val="0"/>
          <w:sz w:val="26"/>
          <w:szCs w:val="26"/>
        </w:rPr>
        <w:t xml:space="preserve">г.Новосибирск</w:t>
      </w:r>
      <w:r>
        <w:rPr>
          <w:rStyle w:val="931"/>
          <w:b w:val="0"/>
          <w:sz w:val="26"/>
          <w:szCs w:val="26"/>
        </w:rPr>
        <w:t xml:space="preserve">, БИК 015004950, р/с 40102810445370000043, л/с 03222643500000005100, ОКТМО 50701000, КБК 00000000000000000510.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54:19:030301:1203.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в случае, если заявитель отозвал заявку на участие</w:t>
      </w:r>
      <w:r>
        <w:rPr>
          <w:rStyle w:val="931"/>
          <w:b w:val="0"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</w:t>
      </w:r>
      <w:r>
        <w:rPr>
          <w:rStyle w:val="931"/>
          <w:b w:val="0"/>
          <w:sz w:val="26"/>
          <w:szCs w:val="26"/>
        </w:rPr>
        <w:t xml:space="preserve">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sz w:val="26"/>
          <w:szCs w:val="26"/>
        </w:rPr>
        <w:outlineLvl w:val="0"/>
      </w:pPr>
      <w:r>
        <w:rPr>
          <w:rStyle w:val="931"/>
          <w:b w:val="0"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rStyle w:val="93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участка: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1"/>
          <w:sz w:val="26"/>
          <w:szCs w:val="26"/>
        </w:rPr>
      </w:pPr>
      <w:r>
        <w:rPr>
          <w:rStyle w:val="931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31"/>
          <w:sz w:val="26"/>
          <w:szCs w:val="26"/>
        </w:rPr>
        <w:t xml:space="preserve">о существенных условиях договора аренды земельного участка: </w:t>
      </w:r>
      <w:r>
        <w:rPr>
          <w:rStyle w:val="931"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</w:p>
    <w:p>
      <w:pPr>
        <w:numPr>
          <w:ilvl w:val="0"/>
          <w:numId w:val="10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2</w:t>
      </w:r>
      <w:r>
        <w:rPr>
          <w:b/>
          <w:i/>
          <w:sz w:val="26"/>
          <w:szCs w:val="26"/>
        </w:rPr>
        <w:t xml:space="preserve">0 (двадцать)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rStyle w:val="931"/>
          <w:b w:val="0"/>
          <w:bCs w:val="0"/>
        </w:rPr>
      </w:pPr>
      <w:r>
        <w:rPr>
          <w:rStyle w:val="931"/>
          <w:b w:val="0"/>
          <w:bCs w:val="0"/>
        </w:rP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>
        <w:rPr>
          <w:rStyle w:val="931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>
        <w:rPr>
          <w:sz w:val="26"/>
          <w:szCs w:val="26"/>
        </w:rPr>
        <w:t xml:space="preserve">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39"/>
            <w:sz w:val="26"/>
            <w:szCs w:val="26"/>
            <w:lang w:val="en-US"/>
          </w:rPr>
          <w:t xml:space="preserve">www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torgi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gov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1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31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39"/>
            <w:sz w:val="26"/>
            <w:szCs w:val="26"/>
            <w:lang w:val="en-US"/>
          </w:rPr>
          <w:t xml:space="preserve">www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torgi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gov</w:t>
        </w:r>
        <w:r>
          <w:rPr>
            <w:rStyle w:val="939"/>
            <w:sz w:val="26"/>
            <w:szCs w:val="26"/>
          </w:rPr>
          <w:t xml:space="preserve">.</w:t>
        </w:r>
        <w:r>
          <w:rPr>
            <w:rStyle w:val="939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31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1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31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3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</w:p>
  <w:p>
    <w:pPr>
      <w:pStyle w:val="93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7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"/>
  </w:num>
  <w:num w:numId="14">
    <w:abstractNumId w:val="3"/>
  </w:num>
  <w:num w:numId="15">
    <w:abstractNumId w:val="4"/>
  </w:num>
  <w:num w:numId="16">
    <w:abstractNumId w:val="1"/>
  </w:num>
  <w:num w:numId="17">
    <w:abstractNumId w:val="3"/>
  </w:num>
  <w:num w:numId="18">
    <w:abstractNumId w:val="4"/>
  </w:num>
  <w:num w:numId="19">
    <w:abstractNumId w:val="1"/>
  </w:num>
  <w:num w:numId="20">
    <w:abstractNumId w:val="3"/>
  </w:num>
  <w:num w:numId="21">
    <w:abstractNumId w:val="4"/>
  </w:num>
  <w:num w:numId="22">
    <w:abstractNumId w:val="5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rPr>
      <w:sz w:val="24"/>
      <w:szCs w:val="24"/>
    </w:rPr>
  </w:style>
  <w:style w:type="paragraph" w:styleId="742">
    <w:name w:val="Heading 1"/>
    <w:basedOn w:val="741"/>
    <w:next w:val="741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7">
    <w:name w:val="Heading 6"/>
    <w:basedOn w:val="741"/>
    <w:next w:val="741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1"/>
    <w:uiPriority w:val="10"/>
    <w:rPr>
      <w:sz w:val="48"/>
      <w:szCs w:val="48"/>
    </w:rPr>
  </w:style>
  <w:style w:type="character" w:styleId="764" w:customStyle="1">
    <w:name w:val="Subtitle Char"/>
    <w:basedOn w:val="751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Caption Char"/>
    <w:basedOn w:val="751"/>
    <w:uiPriority w:val="35"/>
    <w:rPr>
      <w:b/>
      <w:bCs/>
      <w:color w:val="4f81bd" w:themeColor="accent1"/>
      <w:sz w:val="18"/>
      <w:szCs w:val="18"/>
    </w:rPr>
  </w:style>
  <w:style w:type="character" w:styleId="768" w:customStyle="1">
    <w:name w:val="Endnote Text Char"/>
    <w:uiPriority w:val="99"/>
    <w:rPr>
      <w:sz w:val="20"/>
    </w:rPr>
  </w:style>
  <w:style w:type="character" w:styleId="769" w:customStyle="1">
    <w:name w:val="Заголовок 1 Знак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uiPriority w:val="1"/>
    <w:qFormat/>
  </w:style>
  <w:style w:type="paragraph" w:styleId="779">
    <w:name w:val="Title"/>
    <w:basedOn w:val="741"/>
    <w:next w:val="741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basedOn w:val="751"/>
    <w:link w:val="779"/>
    <w:uiPriority w:val="10"/>
    <w:rPr>
      <w:sz w:val="48"/>
      <w:szCs w:val="48"/>
    </w:rPr>
  </w:style>
  <w:style w:type="paragraph" w:styleId="781">
    <w:name w:val="Subtitle"/>
    <w:basedOn w:val="741"/>
    <w:next w:val="741"/>
    <w:link w:val="782"/>
    <w:uiPriority w:val="11"/>
    <w:qFormat/>
    <w:pPr>
      <w:spacing w:before="200" w:after="200"/>
    </w:pPr>
  </w:style>
  <w:style w:type="character" w:styleId="782" w:customStyle="1">
    <w:name w:val="Подзаголовок Знак"/>
    <w:basedOn w:val="751"/>
    <w:link w:val="781"/>
    <w:uiPriority w:val="11"/>
    <w:rPr>
      <w:sz w:val="24"/>
      <w:szCs w:val="24"/>
    </w:rPr>
  </w:style>
  <w:style w:type="paragraph" w:styleId="783">
    <w:name w:val="Quote"/>
    <w:basedOn w:val="741"/>
    <w:next w:val="741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41"/>
    <w:next w:val="741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character" w:styleId="787" w:customStyle="1">
    <w:name w:val="Header Char"/>
    <w:basedOn w:val="751"/>
    <w:uiPriority w:val="99"/>
  </w:style>
  <w:style w:type="character" w:styleId="788" w:customStyle="1">
    <w:name w:val="Footer Char"/>
    <w:basedOn w:val="751"/>
    <w:uiPriority w:val="99"/>
  </w:style>
  <w:style w:type="paragraph" w:styleId="789">
    <w:name w:val="Caption"/>
    <w:basedOn w:val="741"/>
    <w:next w:val="741"/>
    <w:link w:val="7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0" w:customStyle="1">
    <w:name w:val="Название объекта Знак"/>
    <w:basedOn w:val="751"/>
    <w:link w:val="789"/>
    <w:uiPriority w:val="35"/>
    <w:rPr>
      <w:b/>
      <w:bCs/>
      <w:color w:val="4f81bd" w:themeColor="accent1"/>
      <w:sz w:val="18"/>
      <w:szCs w:val="18"/>
    </w:rPr>
  </w:style>
  <w:style w:type="table" w:styleId="791" w:customStyle="1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2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75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5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0" w:customStyle="1">
    <w:name w:val="Grid Table 4 - Accent 2"/>
    <w:basedOn w:val="75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Grid Table 4 - Accent 3"/>
    <w:basedOn w:val="75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2" w:customStyle="1">
    <w:name w:val="Grid Table 4 - Accent 4"/>
    <w:basedOn w:val="75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Grid Table 4 - Accent 5"/>
    <w:basedOn w:val="75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basedOn w:val="75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5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2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basedOn w:val="75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4" w:customStyle="1">
    <w:name w:val="Grid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5" w:customStyle="1">
    <w:name w:val="Grid Table 6 Colorful - Accent 3"/>
    <w:basedOn w:val="75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6" w:customStyle="1">
    <w:name w:val="Grid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7" w:customStyle="1">
    <w:name w:val="Grid Table 6 Colorful - Accent 5"/>
    <w:basedOn w:val="75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6 Colorful - Accent 6"/>
    <w:basedOn w:val="75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1"/>
    <w:basedOn w:val="75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5"/>
    <w:basedOn w:val="75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6"/>
    <w:basedOn w:val="75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>
    <w:name w:val="List Table 1 Light"/>
    <w:basedOn w:val="75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5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5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5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5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5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5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5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4" w:customStyle="1">
    <w:name w:val="List Table 6 Colorful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5" w:customStyle="1">
    <w:name w:val="List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6" w:customStyle="1">
    <w:name w:val="List Table 6 Colorful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7" w:customStyle="1">
    <w:name w:val="List Table 6 Colorful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8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1"/>
    <w:basedOn w:val="75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2"/>
    <w:basedOn w:val="75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3"/>
    <w:basedOn w:val="75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4"/>
    <w:basedOn w:val="75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5"/>
    <w:basedOn w:val="75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6"/>
    <w:basedOn w:val="75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ned - Accent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Lined - Accent 2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Lined - Accent 3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Lined - Accent 4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Lined - Accent 5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Lined - Accent 6"/>
    <w:basedOn w:val="75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 &amp; Lined - Accent"/>
    <w:basedOn w:val="75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basedOn w:val="75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Bordered &amp; Lined - Accent 2"/>
    <w:basedOn w:val="75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Bordered &amp; Lined - Accent 3"/>
    <w:basedOn w:val="75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Bordered &amp; Lined - Accent 4"/>
    <w:basedOn w:val="75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Bordered &amp; Lined - Accent 5"/>
    <w:basedOn w:val="75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Bordered &amp; Lined - Accent 6"/>
    <w:basedOn w:val="75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2" w:customStyle="1">
    <w:name w:val="Bordered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3" w:customStyle="1">
    <w:name w:val="Bordered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4" w:customStyle="1">
    <w:name w:val="Bordered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5" w:customStyle="1">
    <w:name w:val="Bordered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6" w:customStyle="1">
    <w:name w:val="Footnote Text Char"/>
    <w:uiPriority w:val="99"/>
    <w:rPr>
      <w:sz w:val="18"/>
    </w:rPr>
  </w:style>
  <w:style w:type="paragraph" w:styleId="917">
    <w:name w:val="endnote text"/>
    <w:basedOn w:val="741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51"/>
    <w:uiPriority w:val="99"/>
    <w:semiHidden/>
    <w:unhideWhenUsed/>
    <w:rPr>
      <w:vertAlign w:val="superscript"/>
    </w:rPr>
  </w:style>
  <w:style w:type="paragraph" w:styleId="920">
    <w:name w:val="toc 1"/>
    <w:basedOn w:val="741"/>
    <w:next w:val="741"/>
    <w:uiPriority w:val="39"/>
    <w:unhideWhenUsed/>
    <w:pPr>
      <w:spacing w:after="57"/>
    </w:pPr>
  </w:style>
  <w:style w:type="paragraph" w:styleId="921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2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3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4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25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26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27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28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41"/>
    <w:next w:val="741"/>
    <w:uiPriority w:val="99"/>
    <w:unhideWhenUsed/>
  </w:style>
  <w:style w:type="character" w:styleId="931">
    <w:name w:val="Strong"/>
    <w:qFormat/>
    <w:rPr>
      <w:b/>
      <w:bCs/>
    </w:rPr>
  </w:style>
  <w:style w:type="paragraph" w:styleId="932">
    <w:name w:val="Document Map"/>
    <w:basedOn w:val="74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33">
    <w:name w:val="Table Grid"/>
    <w:basedOn w:val="75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>
    <w:name w:val="Footer"/>
    <w:basedOn w:val="741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35">
    <w:name w:val="page number"/>
    <w:basedOn w:val="751"/>
  </w:style>
  <w:style w:type="paragraph" w:styleId="936">
    <w:name w:val="List Paragraph"/>
    <w:basedOn w:val="741"/>
    <w:uiPriority w:val="34"/>
    <w:qFormat/>
    <w:pPr>
      <w:contextualSpacing/>
      <w:ind w:left="720"/>
    </w:pPr>
  </w:style>
  <w:style w:type="paragraph" w:styleId="937">
    <w:name w:val="Balloon Text"/>
    <w:basedOn w:val="741"/>
    <w:link w:val="938"/>
    <w:uiPriority w:val="99"/>
    <w:semiHidden/>
    <w:unhideWhenUsed/>
    <w:rPr>
      <w:rFonts w:ascii="Tahoma" w:hAnsi="Tahoma"/>
      <w:sz w:val="16"/>
      <w:szCs w:val="16"/>
    </w:rPr>
  </w:style>
  <w:style w:type="character" w:styleId="938" w:customStyle="1">
    <w:name w:val="Текст выноски Знак"/>
    <w:link w:val="937"/>
    <w:uiPriority w:val="99"/>
    <w:semiHidden/>
    <w:rPr>
      <w:rFonts w:ascii="Tahoma" w:hAnsi="Tahoma" w:cs="Tahoma"/>
      <w:sz w:val="16"/>
      <w:szCs w:val="16"/>
    </w:rPr>
  </w:style>
  <w:style w:type="character" w:styleId="939">
    <w:name w:val="Hyperlink"/>
    <w:uiPriority w:val="99"/>
    <w:unhideWhenUsed/>
    <w:rPr>
      <w:color w:val="0000ff"/>
      <w:u w:val="single"/>
    </w:rPr>
  </w:style>
  <w:style w:type="paragraph" w:styleId="94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1">
    <w:name w:val="Header"/>
    <w:basedOn w:val="741"/>
    <w:link w:val="9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link w:val="941"/>
    <w:uiPriority w:val="99"/>
    <w:rPr>
      <w:sz w:val="24"/>
      <w:szCs w:val="24"/>
    </w:rPr>
  </w:style>
  <w:style w:type="paragraph" w:styleId="943">
    <w:name w:val="Normal (Web)"/>
    <w:basedOn w:val="741"/>
    <w:link w:val="944"/>
    <w:pPr>
      <w:spacing w:before="100" w:beforeAutospacing="1" w:after="100" w:afterAutospacing="1"/>
    </w:pPr>
  </w:style>
  <w:style w:type="character" w:styleId="944" w:customStyle="1">
    <w:name w:val="Обычный (веб) Знак"/>
    <w:link w:val="943"/>
    <w:rPr>
      <w:sz w:val="24"/>
      <w:szCs w:val="24"/>
    </w:rPr>
  </w:style>
  <w:style w:type="paragraph" w:styleId="945">
    <w:name w:val="Body Text Indent 3"/>
    <w:basedOn w:val="741"/>
    <w:link w:val="946"/>
    <w:pPr>
      <w:ind w:right="-143" w:firstLine="709"/>
      <w:jc w:val="both"/>
    </w:pPr>
    <w:rPr>
      <w:sz w:val="28"/>
      <w:szCs w:val="28"/>
    </w:rPr>
  </w:style>
  <w:style w:type="character" w:styleId="946" w:customStyle="1">
    <w:name w:val="Основной текст с отступом 3 Знак"/>
    <w:link w:val="945"/>
    <w:rPr>
      <w:sz w:val="28"/>
      <w:szCs w:val="28"/>
    </w:rPr>
  </w:style>
  <w:style w:type="character" w:styleId="947" w:customStyle="1">
    <w:name w:val="Нижний колонтитул Знак"/>
    <w:link w:val="934"/>
    <w:uiPriority w:val="99"/>
    <w:rPr>
      <w:sz w:val="24"/>
      <w:szCs w:val="24"/>
    </w:rPr>
  </w:style>
  <w:style w:type="paragraph" w:styleId="948">
    <w:name w:val="Body Text Indent"/>
    <w:basedOn w:val="741"/>
    <w:link w:val="949"/>
    <w:uiPriority w:val="99"/>
    <w:semiHidden/>
    <w:unhideWhenUsed/>
    <w:pPr>
      <w:ind w:left="283"/>
      <w:spacing w:after="120"/>
    </w:pPr>
  </w:style>
  <w:style w:type="character" w:styleId="949" w:customStyle="1">
    <w:name w:val="Основной текст с отступом Знак"/>
    <w:basedOn w:val="751"/>
    <w:link w:val="948"/>
    <w:uiPriority w:val="99"/>
    <w:semiHidden/>
    <w:rPr>
      <w:sz w:val="24"/>
      <w:szCs w:val="24"/>
    </w:rPr>
  </w:style>
  <w:style w:type="paragraph" w:styleId="950" w:customStyle="1">
    <w:name w:val="ConsPlusNormal"/>
    <w:rPr>
      <w:sz w:val="28"/>
      <w:szCs w:val="28"/>
    </w:rPr>
  </w:style>
  <w:style w:type="paragraph" w:styleId="951" w:customStyle="1">
    <w:name w:val="Табличный_боковик_11"/>
    <w:link w:val="952"/>
    <w:qFormat/>
    <w:rPr>
      <w:sz w:val="22"/>
      <w:szCs w:val="24"/>
    </w:rPr>
  </w:style>
  <w:style w:type="character" w:styleId="952" w:customStyle="1">
    <w:name w:val="Табличный_боковик_11 Знак"/>
    <w:link w:val="951"/>
    <w:rPr>
      <w:sz w:val="22"/>
      <w:szCs w:val="24"/>
    </w:rPr>
  </w:style>
  <w:style w:type="character" w:styleId="953">
    <w:name w:val="FollowedHyperlink"/>
    <w:basedOn w:val="751"/>
    <w:uiPriority w:val="99"/>
    <w:semiHidden/>
    <w:unhideWhenUsed/>
    <w:rPr>
      <w:color w:val="800080" w:themeColor="followedHyperlink"/>
      <w:u w:val="single"/>
    </w:rPr>
  </w:style>
  <w:style w:type="paragraph" w:styleId="954" w:customStyle="1">
    <w:name w:val="Default"/>
    <w:rPr>
      <w:color w:val="000000"/>
      <w:sz w:val="24"/>
      <w:szCs w:val="24"/>
    </w:rPr>
  </w:style>
  <w:style w:type="paragraph" w:styleId="955">
    <w:name w:val="footnote text"/>
    <w:basedOn w:val="741"/>
    <w:link w:val="956"/>
    <w:uiPriority w:val="99"/>
    <w:semiHidden/>
    <w:unhideWhenUsed/>
    <w:rPr>
      <w:sz w:val="20"/>
      <w:szCs w:val="20"/>
    </w:rPr>
  </w:style>
  <w:style w:type="character" w:styleId="956" w:customStyle="1">
    <w:name w:val="Текст сноски Знак"/>
    <w:basedOn w:val="751"/>
    <w:link w:val="955"/>
    <w:uiPriority w:val="99"/>
    <w:semiHidden/>
  </w:style>
  <w:style w:type="character" w:styleId="957">
    <w:name w:val="footnote reference"/>
    <w:basedOn w:val="75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5C8A9-E7C5-4734-94E8-4B965709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sasdv</cp:lastModifiedBy>
  <cp:revision>45</cp:revision>
  <dcterms:created xsi:type="dcterms:W3CDTF">2024-03-06T03:58:00Z</dcterms:created>
  <dcterms:modified xsi:type="dcterms:W3CDTF">2026-03-02T08:41:17Z</dcterms:modified>
</cp:coreProperties>
</file>