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о проведении аукциона в электронной форме</w:t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продаже земельного участка</w:t>
      </w:r>
      <w:r>
        <w:rPr>
          <w:b/>
          <w:sz w:val="26"/>
          <w:szCs w:val="26"/>
        </w:rPr>
      </w:r>
    </w:p>
    <w:p>
      <w:pPr>
        <w:ind w:firstLine="709"/>
        <w:tabs>
          <w:tab w:val="left" w:pos="8087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pStyle w:val="96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 в электронной форме по продаже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sz w:val="26"/>
          <w:szCs w:val="26"/>
        </w:rPr>
        <w:t xml:space="preserve"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</w:t>
      </w:r>
      <w:r>
        <w:rPr>
          <w:sz w:val="26"/>
          <w:szCs w:val="26"/>
        </w:rPr>
        <w:t xml:space="preserve">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13" w:tooltip="http://dizo.nso.ru" w:history="1">
        <w:r>
          <w:rPr>
            <w:rStyle w:val="958"/>
            <w:sz w:val="26"/>
            <w:szCs w:val="26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14" w:tooltip="mailto:dgi@nso.ru" w:history="1">
        <w:r>
          <w:rPr>
            <w:rStyle w:val="958"/>
            <w:sz w:val="26"/>
            <w:szCs w:val="26"/>
            <w:lang w:val="en-US"/>
          </w:rPr>
          <w:t xml:space="preserve">dgi</w:t>
        </w:r>
        <w:r>
          <w:rPr>
            <w:rStyle w:val="958"/>
            <w:sz w:val="26"/>
            <w:szCs w:val="26"/>
          </w:rPr>
          <w:t xml:space="preserve">@nso.ru</w:t>
        </w:r>
      </w:hyperlink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телефон: +7 (383) 238-60-02.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sz w:val="26"/>
          <w:szCs w:val="26"/>
        </w:rPr>
        <w:t xml:space="preserve"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</w:t>
      </w:r>
      <w:r>
        <w:rPr>
          <w:sz w:val="26"/>
          <w:szCs w:val="26"/>
        </w:rPr>
        <w:t xml:space="preserve">ской области от 08.10.2025 № </w:t>
      </w:r>
      <w:r>
        <w:rPr>
          <w:sz w:val="26"/>
          <w:szCs w:val="26"/>
        </w:rPr>
        <w:t xml:space="preserve">3131  «</w:t>
      </w:r>
      <w:r>
        <w:rPr>
          <w:sz w:val="26"/>
          <w:szCs w:val="26"/>
        </w:rPr>
        <w:t xml:space="preserve">О проведении аукциона по продаже земельного участка с кадастровым номером 54:19:040307:580».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Оператор электронной площадки:</w:t>
      </w:r>
      <w:r>
        <w:rPr>
          <w:rStyle w:val="950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</w:t>
      </w:r>
      <w:r>
        <w:rPr>
          <w:rStyle w:val="950"/>
          <w:b w:val="0"/>
          <w:sz w:val="26"/>
          <w:szCs w:val="26"/>
        </w:rPr>
        <w:t xml:space="preserve">бережная Тараса Шевченко, дом 23А,</w:t>
      </w:r>
      <w:r>
        <w:t xml:space="preserve"> </w:t>
      </w:r>
      <w:r>
        <w:rPr>
          <w:rStyle w:val="950"/>
          <w:b w:val="0"/>
          <w:sz w:val="26"/>
          <w:szCs w:val="26"/>
        </w:rPr>
        <w:t xml:space="preserve">этаж 25, помещение №1, адрес сайта: </w:t>
      </w:r>
      <w:hyperlink r:id="rId15" w:tooltip="http://www.rts-tender.ru" w:history="1">
        <w:r>
          <w:rPr>
            <w:rStyle w:val="958"/>
            <w:sz w:val="26"/>
            <w:szCs w:val="26"/>
          </w:rPr>
          <w:t xml:space="preserve">www.rts-tender.ru</w:t>
        </w:r>
      </w:hyperlink>
      <w:r>
        <w:rPr>
          <w:rStyle w:val="950"/>
          <w:b w:val="0"/>
          <w:sz w:val="26"/>
          <w:szCs w:val="26"/>
        </w:rPr>
        <w:t xml:space="preserve">, адрес электронной почты: </w:t>
      </w:r>
      <w:hyperlink r:id="rId16" w:tooltip="mailto:iSupport@rts-tender.ru" w:history="1">
        <w:r>
          <w:rPr>
            <w:rStyle w:val="958"/>
            <w:sz w:val="26"/>
            <w:szCs w:val="26"/>
          </w:rPr>
          <w:t xml:space="preserve">iSupport@rts-tender.ru</w:t>
        </w:r>
      </w:hyperlink>
      <w:r>
        <w:rPr>
          <w:rStyle w:val="950"/>
          <w:b w:val="0"/>
          <w:sz w:val="26"/>
          <w:szCs w:val="26"/>
        </w:rPr>
        <w:t xml:space="preserve">, телефон: +7 (499) 653-55-00.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Форма торгов: </w:t>
      </w:r>
      <w:r>
        <w:rPr>
          <w:rStyle w:val="950"/>
          <w:b w:val="0"/>
          <w:sz w:val="26"/>
          <w:szCs w:val="26"/>
        </w:rPr>
        <w:t xml:space="preserve">аукцион в электронной форме, открытый по форме подачи предложений и по составу участников.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31 марта 2026 года.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10:00 по местному времени.</w:t>
      </w:r>
      <w:r>
        <w:rPr>
          <w:sz w:val="26"/>
          <w:szCs w:val="26"/>
        </w:rPr>
      </w:r>
    </w:p>
    <w:p>
      <w:pPr>
        <w:ind w:firstLine="709"/>
        <w:jc w:val="both"/>
        <w:outlineLvl w:val="0"/>
      </w:pPr>
      <w:r>
        <w:rPr>
          <w:b/>
          <w:bCs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Если в течение 10 </w:t>
      </w:r>
      <w:r>
        <w:rPr>
          <w:sz w:val="26"/>
          <w:szCs w:val="26"/>
        </w:rPr>
        <w:t xml:space="preserve">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</w:t>
      </w:r>
      <w:r>
        <w:rPr>
          <w:sz w:val="26"/>
          <w:szCs w:val="26"/>
        </w:rPr>
        <w:t xml:space="preserve">ктронной площадки.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Аукцион завершается, если в течение 10 (десяти) минут после по</w:t>
      </w:r>
      <w:r>
        <w:rPr>
          <w:sz w:val="26"/>
          <w:szCs w:val="26"/>
        </w:rPr>
        <w:t xml:space="preserve">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Победителем признается участник, предложивший наибольшую цену предме</w:t>
      </w:r>
      <w:r>
        <w:rPr>
          <w:sz w:val="26"/>
          <w:szCs w:val="26"/>
        </w:rPr>
        <w:t xml:space="preserve">та аукциона.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</w:t>
      </w:r>
      <w:r>
        <w:rPr>
          <w:sz w:val="26"/>
          <w:szCs w:val="26"/>
        </w:rPr>
        <w:t xml:space="preserve">татов аукциона путем оформления протокола о результатах аукциона.</w:t>
      </w:r>
      <w:r/>
    </w:p>
    <w:p>
      <w:pPr>
        <w:ind w:firstLine="709"/>
        <w:jc w:val="both"/>
        <w:outlineLvl w:val="0"/>
      </w:pPr>
      <w:r>
        <w:rPr>
          <w:sz w:val="26"/>
          <w:szCs w:val="26"/>
        </w:rPr>
        <w:t xml:space="preserve">Протокол о результатах аукциона публикуется организатором аукциона на электронной площадке.</w:t>
      </w:r>
      <w:r/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Оператор электронной площадки размещает протокол о результатах аукциона на официальном сайте торго</w:t>
      </w:r>
      <w:r>
        <w:rPr>
          <w:sz w:val="26"/>
          <w:szCs w:val="26"/>
        </w:rPr>
        <w:t xml:space="preserve">в в течение одного рабочего дня со дня его подписания.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земельный участок.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rStyle w:val="950"/>
          <w:sz w:val="26"/>
          <w:szCs w:val="26"/>
        </w:rPr>
      </w:pPr>
      <w:r>
        <w:rPr>
          <w:rStyle w:val="950"/>
          <w:sz w:val="26"/>
          <w:szCs w:val="26"/>
        </w:rPr>
        <w:t xml:space="preserve">Лот № 1</w:t>
      </w:r>
      <w:r>
        <w:rPr>
          <w:rStyle w:val="95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54:19:040307:580, площадью 819 кв. м., местоположение: Р</w:t>
      </w:r>
      <w:r>
        <w:rPr>
          <w:sz w:val="26"/>
          <w:szCs w:val="26"/>
        </w:rPr>
        <w:t xml:space="preserve">оссийская Федерация, Новосибирская область, Новосибирский район, </w:t>
      </w:r>
      <w:r>
        <w:rPr>
          <w:sz w:val="26"/>
          <w:szCs w:val="26"/>
        </w:rPr>
        <w:t xml:space="preserve">Ярковский</w:t>
      </w:r>
      <w:r>
        <w:rPr>
          <w:sz w:val="26"/>
          <w:szCs w:val="26"/>
        </w:rPr>
        <w:t xml:space="preserve"> сельсовет, с. </w:t>
      </w:r>
      <w:r>
        <w:rPr>
          <w:sz w:val="26"/>
          <w:szCs w:val="26"/>
        </w:rPr>
        <w:t xml:space="preserve">Пайвино</w:t>
      </w:r>
      <w:r>
        <w:rPr>
          <w:sz w:val="26"/>
          <w:szCs w:val="26"/>
        </w:rPr>
        <w:t xml:space="preserve">, категория земель: земли населенных пунктов, разрешенное использование: для ведения личного подсобного хозяйства (2.2).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bCs/>
        </w:rPr>
      </w:pPr>
      <w:r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  <w:r>
        <w:rPr>
          <w:b/>
          <w:bCs/>
        </w:rPr>
      </w:r>
    </w:p>
    <w:p>
      <w:pPr>
        <w:pStyle w:val="955"/>
        <w:numPr>
          <w:ilvl w:val="0"/>
          <w:numId w:val="24"/>
        </w:numPr>
        <w:ind w:left="0" w:right="-23" w:firstLine="567"/>
        <w:jc w:val="both"/>
        <w:shd w:val="clear" w:color="auto" w:fill="ffffff"/>
        <w:tabs>
          <w:tab w:val="left" w:pos="993" w:leader="none"/>
        </w:tabs>
      </w:pPr>
      <w:r>
        <w:rPr>
          <w:sz w:val="26"/>
          <w:szCs w:val="26"/>
        </w:rPr>
        <w:t xml:space="preserve">Земельный участок расположен в границе полос воздушных подходов аэродрома Новосибирск (Толмачево) - (ПВП);</w:t>
      </w:r>
      <w:r/>
    </w:p>
    <w:p>
      <w:pPr>
        <w:pStyle w:val="955"/>
        <w:numPr>
          <w:ilvl w:val="0"/>
          <w:numId w:val="24"/>
        </w:numPr>
        <w:ind w:left="0" w:right="-23" w:firstLine="567"/>
        <w:jc w:val="both"/>
        <w:shd w:val="clear" w:color="auto" w:fill="ffffff"/>
        <w:tabs>
          <w:tab w:val="left" w:pos="993" w:leader="none"/>
        </w:tabs>
      </w:pPr>
      <w:r>
        <w:rPr>
          <w:sz w:val="26"/>
          <w:szCs w:val="26"/>
        </w:rPr>
        <w:t xml:space="preserve">Земельный участок расположен в приаэродромной территории аэропорта Толмачево (30 км от КТА).</w:t>
      </w:r>
      <w:r/>
    </w:p>
    <w:p>
      <w:pPr>
        <w:ind w:right="-23" w:firstLine="709"/>
        <w:jc w:val="both"/>
        <w:shd w:val="clear" w:color="auto" w:fill="ffffff"/>
        <w:tabs>
          <w:tab w:val="left" w:pos="993" w:leader="none"/>
        </w:tabs>
      </w:pPr>
      <w:r>
        <w:rPr>
          <w:b/>
          <w:bCs/>
          <w:sz w:val="26"/>
          <w:szCs w:val="26"/>
        </w:rPr>
        <w:t xml:space="preserve">Допо</w:t>
      </w:r>
      <w:r>
        <w:rPr>
          <w:b/>
          <w:bCs/>
          <w:sz w:val="26"/>
          <w:szCs w:val="26"/>
        </w:rPr>
        <w:t xml:space="preserve">лнительные сведения о земельном участке: </w:t>
      </w:r>
      <w:r>
        <w:rPr>
          <w:sz w:val="26"/>
          <w:szCs w:val="26"/>
        </w:rPr>
        <w:t xml:space="preserve">отсутствуют</w:t>
      </w:r>
      <w:r>
        <w:rPr>
          <w:sz w:val="26"/>
          <w:szCs w:val="26"/>
        </w:rPr>
        <w:t xml:space="preserve">.</w:t>
      </w:r>
      <w:r/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50"/>
          <w:sz w:val="26"/>
          <w:szCs w:val="26"/>
        </w:rPr>
      </w:pPr>
      <w:r>
        <w:rPr>
          <w:rStyle w:val="950"/>
          <w:sz w:val="26"/>
          <w:szCs w:val="26"/>
        </w:rPr>
        <w:t xml:space="preserve">Требование к участникам аукциона:</w:t>
      </w:r>
      <w:r>
        <w:rPr>
          <w:rStyle w:val="95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В соответствии с абзацем 2 пункта 10 статьи 39.11 Земельного кодекса Российской Федерации участникам</w:t>
      </w:r>
      <w:bookmarkStart w:id="0" w:name="_GoBack"/>
      <w:r/>
      <w:bookmarkEnd w:id="0"/>
      <w:r>
        <w:rPr>
          <w:rStyle w:val="950"/>
          <w:b w:val="0"/>
          <w:sz w:val="26"/>
          <w:szCs w:val="26"/>
        </w:rPr>
        <w:t xml:space="preserve">и аукциона, проводимого в случае, предусмотренном пун</w:t>
      </w:r>
      <w:r>
        <w:rPr>
          <w:rStyle w:val="950"/>
          <w:b w:val="0"/>
          <w:sz w:val="26"/>
          <w:szCs w:val="26"/>
        </w:rPr>
        <w:t xml:space="preserve">ктом 7 статьи 39.18 Земельного кодекса Российской Федерации, могут являться только граждане.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sz w:val="26"/>
          <w:szCs w:val="26"/>
        </w:rPr>
      </w:pPr>
      <w:r>
        <w:rPr>
          <w:rStyle w:val="950"/>
          <w:sz w:val="26"/>
          <w:szCs w:val="26"/>
        </w:rPr>
        <w:t xml:space="preserve">Получение электронной подписи и регистрация (аккредитация) на электронной площадке:</w:t>
      </w:r>
      <w:r>
        <w:rPr>
          <w:rStyle w:val="95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Для обеспечения доступа к участию в электронном аукционе Претенденту необходимо</w:t>
      </w:r>
      <w:r>
        <w:rPr>
          <w:rStyle w:val="950"/>
          <w:b w:val="0"/>
          <w:sz w:val="26"/>
          <w:szCs w:val="26"/>
        </w:rPr>
        <w:t xml:space="preserve">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</w:t>
      </w:r>
      <w:r>
        <w:rPr>
          <w:rStyle w:val="950"/>
          <w:b w:val="0"/>
          <w:sz w:val="26"/>
          <w:szCs w:val="26"/>
        </w:rPr>
        <w:t xml:space="preserve">без взимания платы.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</w:t>
      </w:r>
      <w:r>
        <w:rPr>
          <w:rStyle w:val="950"/>
          <w:b w:val="0"/>
          <w:sz w:val="26"/>
          <w:szCs w:val="26"/>
        </w:rPr>
        <w:t xml:space="preserve">и направления документов.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</w:t>
      </w:r>
      <w:r>
        <w:rPr>
          <w:rStyle w:val="950"/>
          <w:b w:val="0"/>
          <w:sz w:val="26"/>
          <w:szCs w:val="26"/>
        </w:rPr>
        <w:t xml:space="preserve">ющего за днем его регистрации в ГИС Торги.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</w:t>
      </w:r>
      <w:r>
        <w:rPr>
          <w:rStyle w:val="950"/>
          <w:b w:val="0"/>
          <w:sz w:val="26"/>
          <w:szCs w:val="26"/>
        </w:rPr>
        <w:t xml:space="preserve">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</w:t>
      </w:r>
      <w:r>
        <w:rPr>
          <w:rStyle w:val="950"/>
          <w:b w:val="0"/>
          <w:sz w:val="26"/>
          <w:szCs w:val="26"/>
        </w:rPr>
        <w:t xml:space="preserve">сью (далее – ЭП) и загружать их на государственные порталы.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Регистрации в ГИС Торги подлежат Претенденты, ранее не зарегистрированные</w:t>
      </w:r>
      <w:r>
        <w:rPr>
          <w:rStyle w:val="950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Подробно с информацией о регистрации в ГИС Торги мож</w:t>
      </w:r>
      <w:r>
        <w:rPr>
          <w:rStyle w:val="950"/>
          <w:b w:val="0"/>
          <w:sz w:val="26"/>
          <w:szCs w:val="26"/>
        </w:rPr>
        <w:t xml:space="preserve">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Для обеспечения доступа к под</w:t>
      </w:r>
      <w:r>
        <w:rPr>
          <w:rStyle w:val="950"/>
          <w:b w:val="0"/>
          <w:sz w:val="26"/>
          <w:szCs w:val="26"/>
        </w:rPr>
        <w:t xml:space="preserve">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t xml:space="preserve"> </w:t>
      </w:r>
      <w:r>
        <w:rPr>
          <w:rStyle w:val="950"/>
          <w:b w:val="0"/>
          <w:sz w:val="26"/>
          <w:szCs w:val="26"/>
        </w:rPr>
        <w:t xml:space="preserve">расположен в информационно-телекоммуникационной сети «Интернет»</w:t>
      </w:r>
      <w:r>
        <w:t xml:space="preserve"> </w:t>
      </w:r>
      <w:r>
        <w:rPr>
          <w:rStyle w:val="950"/>
          <w:b w:val="0"/>
          <w:sz w:val="26"/>
          <w:szCs w:val="26"/>
        </w:rPr>
        <w:t xml:space="preserve">по адресу: </w:t>
      </w:r>
      <w:hyperlink r:id="rId17" w:tooltip="https://www.rts-tender.ru/platform-rules/platform-property-sales" w:history="1">
        <w:r>
          <w:rPr>
            <w:rStyle w:val="958"/>
            <w:bCs/>
            <w:sz w:val="26"/>
            <w:szCs w:val="26"/>
          </w:rPr>
          <w:t xml:space="preserve">https://www.rts-tender.ru/pla</w:t>
        </w:r>
        <w:r>
          <w:rPr>
            <w:rStyle w:val="958"/>
            <w:bCs/>
            <w:sz w:val="26"/>
            <w:szCs w:val="26"/>
          </w:rPr>
          <w:t xml:space="preserve">tform-rules/platform-property-sales</w:t>
        </w:r>
      </w:hyperlink>
      <w:r>
        <w:rPr>
          <w:rStyle w:val="958"/>
          <w:bCs/>
          <w:sz w:val="26"/>
          <w:szCs w:val="26"/>
        </w:rPr>
        <w:t xml:space="preserve"> </w:t>
      </w:r>
      <w:r>
        <w:rPr>
          <w:rStyle w:val="950"/>
          <w:b w:val="0"/>
          <w:sz w:val="26"/>
          <w:szCs w:val="26"/>
        </w:rPr>
        <w:t xml:space="preserve">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</w:t>
      </w:r>
      <w:r>
        <w:rPr>
          <w:b/>
          <w:sz w:val="26"/>
          <w:szCs w:val="26"/>
        </w:rPr>
        <w:t xml:space="preserve">одажи земельного участка:</w:t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</w:t>
      </w:r>
      <w:r>
        <w:rPr>
          <w:sz w:val="26"/>
          <w:szCs w:val="26"/>
        </w:rPr>
        <w:t xml:space="preserve">венные торги.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8" w:tooltip="https://www.rts-tender.ru/tariffs/platform-property-sales-tariffs" w:history="1">
        <w:r>
          <w:rPr>
            <w:rStyle w:val="958"/>
            <w:sz w:val="26"/>
            <w:szCs w:val="26"/>
          </w:rPr>
          <w:t xml:space="preserve">https://www.rts-tender.</w:t>
        </w:r>
        <w:r>
          <w:rPr>
            <w:rStyle w:val="958"/>
            <w:sz w:val="26"/>
            <w:szCs w:val="26"/>
          </w:rPr>
          <w:t xml:space="preserve">ru/tariffs/platform-property-sales-tariffs</w:t>
        </w:r>
      </w:hyperlink>
      <w:r>
        <w:rPr>
          <w:rStyle w:val="958"/>
          <w:sz w:val="26"/>
          <w:szCs w:val="26"/>
        </w:rPr>
        <w:t xml:space="preserve"> </w:t>
      </w:r>
      <w:r>
        <w:rPr>
          <w:sz w:val="26"/>
          <w:szCs w:val="26"/>
        </w:rPr>
        <w:t xml:space="preserve">. Размер тарифа – 1% от начальной цены предмета аукциона и не более 2 000 рублей, в том числе НДС.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Заявителя в момент подачи </w:t>
      </w:r>
      <w:r>
        <w:rPr>
          <w:sz w:val="26"/>
          <w:szCs w:val="26"/>
        </w:rPr>
        <w:t xml:space="preserve">заявки на участие в аукционе, при условии наличия на нем соответствующей суммы свободных денежных средств.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bCs w:val="0"/>
        </w:rPr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</w:t>
      </w:r>
      <w:r>
        <w:rPr>
          <w:sz w:val="26"/>
          <w:szCs w:val="26"/>
        </w:rPr>
        <w:t xml:space="preserve">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</w:t>
      </w:r>
      <w:r>
        <w:rPr>
          <w:sz w:val="26"/>
          <w:szCs w:val="26"/>
        </w:rPr>
        <w:t xml:space="preserve">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</w:t>
      </w:r>
      <w:r>
        <w:rPr>
          <w:sz w:val="26"/>
          <w:szCs w:val="26"/>
        </w:rPr>
        <w:t xml:space="preserve">договора.</w:t>
      </w:r>
      <w:r>
        <w:rPr>
          <w:rStyle w:val="950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sz w:val="26"/>
          <w:szCs w:val="26"/>
        </w:rPr>
      </w:pPr>
      <w:r>
        <w:rPr>
          <w:rStyle w:val="950"/>
          <w:sz w:val="26"/>
          <w:szCs w:val="26"/>
        </w:rPr>
        <w:t xml:space="preserve">Заключение договора</w:t>
      </w:r>
      <w:r>
        <w:t xml:space="preserve"> </w:t>
      </w:r>
      <w:r>
        <w:rPr>
          <w:rStyle w:val="950"/>
          <w:sz w:val="26"/>
          <w:szCs w:val="26"/>
        </w:rPr>
        <w:t xml:space="preserve">в электронной форме:</w:t>
      </w:r>
      <w:r>
        <w:rPr>
          <w:rStyle w:val="95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rStyle w:val="950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50"/>
          <w:sz w:val="26"/>
          <w:szCs w:val="26"/>
        </w:rPr>
        <w:t xml:space="preserve">Начальная цена предмета аукциона: </w:t>
      </w:r>
      <w:r>
        <w:rPr>
          <w:rStyle w:val="950"/>
          <w:b w:val="0"/>
          <w:sz w:val="26"/>
          <w:szCs w:val="26"/>
        </w:rPr>
        <w:t xml:space="preserve">620 000 (шестьсот двадцать тысяч)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31 000 (тридцать одна тысяча) рублей 00 </w:t>
      </w:r>
      <w:r>
        <w:rPr>
          <w:sz w:val="26"/>
          <w:szCs w:val="26"/>
        </w:rPr>
        <w:t xml:space="preserve">копеек.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в соответствии с правилами землепользования и застройки </w:t>
      </w:r>
      <w:r>
        <w:rPr>
          <w:sz w:val="26"/>
          <w:szCs w:val="26"/>
        </w:rPr>
        <w:t xml:space="preserve">Ярковского</w:t>
      </w:r>
      <w:r>
        <w:rPr>
          <w:sz w:val="26"/>
          <w:szCs w:val="26"/>
        </w:rPr>
        <w:t xml:space="preserve"> сельсовета Новосибирского района Новосибирской области утвержденными приказом министерства строительства Нов</w:t>
      </w:r>
      <w:r>
        <w:rPr>
          <w:sz w:val="26"/>
          <w:szCs w:val="26"/>
        </w:rPr>
        <w:t xml:space="preserve">осибирской области от 13.01.2021 № 7 (ред. от 08.12.2025):</w:t>
      </w:r>
      <w:r>
        <w:rPr>
          <w:sz w:val="26"/>
          <w:szCs w:val="2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>
        <w:tblPrEx/>
        <w:trPr>
          <w:tblHeader/>
        </w:trPr>
        <w:tc>
          <w:tcPr>
            <w:tcW w:w="14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территориальная зона/вида разрешенного</w:t>
            </w:r>
            <w:r/>
          </w:p>
          <w:p>
            <w:pPr>
              <w:jc w:val="center"/>
            </w:pPr>
            <w:r>
              <w:t xml:space="preserve">использования (код вида)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7"/>
            <w:shd w:val="clear" w:color="auto" w:fill="ffffff"/>
            <w:tcW w:w="35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Предельные (минимальные и (или) максимальные) размеры земельных участков и предельные параметры разрешенного строительс</w:t>
            </w:r>
            <w:r>
              <w:t xml:space="preserve">тва объектов капитального строительства</w:t>
            </w:r>
            <w:r/>
          </w:p>
        </w:tc>
      </w:tr>
      <w:tr>
        <w:tblPrEx/>
        <w:trPr>
          <w:tblHeader/>
        </w:trPr>
        <w:tc>
          <w:tcPr>
            <w:tcW w:w="14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W w:w="3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min</w:t>
            </w:r>
            <w:r>
              <w:t xml:space="preserve">, (га)</w:t>
            </w:r>
            <w:r/>
          </w:p>
        </w:tc>
        <w:tc>
          <w:tcPr>
            <w:shd w:val="clear" w:color="auto" w:fill="ffffff"/>
            <w:tcW w:w="40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</w:t>
            </w:r>
            <w:r>
              <w:t xml:space="preserve">max</w:t>
            </w:r>
            <w:r>
              <w:t xml:space="preserve">, (га)</w:t>
            </w:r>
            <w:r/>
          </w:p>
        </w:tc>
        <w:tc>
          <w:tcPr>
            <w:shd w:val="clear" w:color="auto" w:fill="ffffff"/>
            <w:tcW w:w="93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Отступ  </w:t>
            </w:r>
            <w:r>
              <w:t xml:space="preserve">min</w:t>
            </w:r>
            <w:r>
              <w:t xml:space="preserve">, (м)</w:t>
            </w:r>
            <w:r/>
          </w:p>
        </w:tc>
        <w:tc>
          <w:tcPr>
            <w:shd w:val="clear" w:color="auto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min</w:t>
            </w:r>
            <w:r/>
          </w:p>
        </w:tc>
        <w:tc>
          <w:tcPr>
            <w:shd w:val="clear" w:color="auto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</w:t>
            </w:r>
            <w:r>
              <w:t xml:space="preserve">max</w:t>
            </w:r>
            <w:r/>
          </w:p>
        </w:tc>
        <w:tc>
          <w:tcPr>
            <w:shd w:val="clear" w:color="auto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min</w:t>
            </w:r>
            <w:r>
              <w:t xml:space="preserve">, (%)</w:t>
            </w:r>
            <w:r/>
          </w:p>
        </w:tc>
        <w:tc>
          <w:tcPr>
            <w:shd w:val="clear" w:color="auto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</w:t>
            </w:r>
            <w:r>
              <w:t xml:space="preserve">max</w:t>
            </w:r>
            <w:r>
              <w:t xml:space="preserve">, (%)</w:t>
            </w:r>
            <w:r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"/>
        </w:trPr>
        <w:tc>
          <w:tcPr>
            <w:tcW w:w="1415" w:type="pct"/>
            <w:textDirection w:val="lrTb"/>
            <w:noWrap w:val="false"/>
          </w:tcPr>
          <w:p>
            <w:pPr>
              <w:pStyle w:val="973"/>
            </w:pPr>
            <w:r>
              <w:rPr>
                <w:color w:val="auto"/>
              </w:rPr>
              <w:t xml:space="preserve">Для ведения личного подсобного хозяйства (2.2)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406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rStyle w:val="976"/>
                <w:sz w:val="24"/>
              </w:rPr>
              <w:footnoteReference w:id="2"/>
            </w:r>
            <w:r>
              <w:rPr>
                <w:sz w:val="24"/>
              </w:rPr>
            </w:r>
          </w:p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pStyle w:val="9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</w:t>
            </w:r>
            <w:r>
              <w:rPr>
                <w:sz w:val="24"/>
              </w:rPr>
            </w:r>
          </w:p>
        </w:tc>
      </w:tr>
    </w:tbl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водоснабжения (холодное) – подключение возможно к сетям МУП Ж</w:t>
      </w:r>
      <w:r>
        <w:rPr>
          <w:bCs/>
          <w:sz w:val="26"/>
          <w:szCs w:val="26"/>
        </w:rPr>
        <w:t xml:space="preserve">КХ «</w:t>
      </w:r>
      <w:r>
        <w:rPr>
          <w:bCs/>
          <w:sz w:val="26"/>
          <w:szCs w:val="26"/>
        </w:rPr>
        <w:t xml:space="preserve">Ярковское</w:t>
      </w:r>
      <w:r>
        <w:rPr>
          <w:bCs/>
          <w:sz w:val="26"/>
          <w:szCs w:val="26"/>
        </w:rPr>
        <w:t xml:space="preserve">»;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водоотведения – возможность подключения отсутствует;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теплоснабжения – возможность подключения отсутствует;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Газоснабжение – возможность подключения отсутствует;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Связь – подключение возможно к сетям ПАО «Ростелеком».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Порядок приема </w:t>
      </w:r>
      <w:r>
        <w:rPr>
          <w:rStyle w:val="950"/>
          <w:sz w:val="26"/>
          <w:szCs w:val="26"/>
        </w:rPr>
        <w:t xml:space="preserve">заявок на участие в аукционе:</w:t>
      </w:r>
      <w:r>
        <w:rPr>
          <w:rStyle w:val="950"/>
          <w:b w:val="0"/>
          <w:sz w:val="26"/>
          <w:szCs w:val="26"/>
        </w:rPr>
        <w:t xml:space="preserve"> 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Форма заявки на участие в аукционе приведена в приложении к настоящему извещению.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Место приема заявок на участие в аукционе:</w:t>
      </w:r>
      <w:r>
        <w:rPr>
          <w:rStyle w:val="950"/>
          <w:b w:val="0"/>
          <w:sz w:val="26"/>
          <w:szCs w:val="26"/>
        </w:rPr>
        <w:t xml:space="preserve"> электронная площадка </w:t>
      </w:r>
      <w:r>
        <w:rPr>
          <w:color w:val="0000ff"/>
          <w:sz w:val="26"/>
          <w:szCs w:val="26"/>
        </w:rPr>
        <w:t xml:space="preserve">https://</w:t>
      </w:r>
      <w:r>
        <w:rPr>
          <w:color w:val="0000ff"/>
          <w:sz w:val="26"/>
          <w:szCs w:val="26"/>
        </w:rPr>
        <w:t xml:space="preserve">www.rts-tender.ru/property-sales</w:t>
      </w:r>
      <w:r>
        <w:rPr>
          <w:sz w:val="26"/>
          <w:szCs w:val="26"/>
        </w:rPr>
        <w:t xml:space="preserve">.</w:t>
      </w:r>
      <w:r>
        <w:rPr>
          <w:rStyle w:val="950"/>
          <w:b w:val="0"/>
          <w:sz w:val="26"/>
          <w:szCs w:val="26"/>
        </w:rPr>
        <w:t xml:space="preserve"> 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Дата и время начала приема заявок:</w:t>
      </w:r>
      <w:r>
        <w:rPr>
          <w:rStyle w:val="950"/>
          <w:b w:val="0"/>
          <w:sz w:val="26"/>
          <w:szCs w:val="26"/>
        </w:rPr>
        <w:t xml:space="preserve"> 07 марта 2026 года в 00-00 по местному времени. Прием заявок осуществляется круглосуточно.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Дата и время окончания приема заявок:</w:t>
      </w:r>
      <w:r>
        <w:rPr>
          <w:rStyle w:val="950"/>
          <w:b w:val="0"/>
          <w:sz w:val="26"/>
          <w:szCs w:val="26"/>
        </w:rPr>
        <w:t xml:space="preserve"> 27 марта 2026 года в 00-00 по местному времени.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950"/>
          <w:sz w:val="26"/>
          <w:szCs w:val="26"/>
        </w:rPr>
        <w:t xml:space="preserve">опре</w:t>
      </w:r>
      <w:r>
        <w:rPr>
          <w:rStyle w:val="950"/>
          <w:sz w:val="26"/>
          <w:szCs w:val="26"/>
        </w:rPr>
        <w:t xml:space="preserve">деления участников аукциона:</w:t>
      </w:r>
      <w:r>
        <w:rPr>
          <w:rStyle w:val="950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30 марта 2026 года.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</w:t>
      </w:r>
      <w:r>
        <w:rPr>
          <w:sz w:val="26"/>
          <w:szCs w:val="26"/>
        </w:rPr>
        <w:t xml:space="preserve">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rStyle w:val="950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950"/>
          <w:b w:val="0"/>
          <w:sz w:val="26"/>
          <w:szCs w:val="26"/>
        </w:rPr>
        <w:t xml:space="preserve">31 марта 2026 года в 10:00 по местному времени электронная площадка </w:t>
      </w:r>
      <w:r>
        <w:rPr>
          <w:color w:val="0000ff"/>
          <w:sz w:val="26"/>
          <w:szCs w:val="26"/>
        </w:rPr>
        <w:t xml:space="preserve">https://www.rts-tender.ru/property-sales.</w:t>
      </w:r>
      <w:r>
        <w:rPr>
          <w:rStyle w:val="950"/>
          <w:b w:val="0"/>
          <w:sz w:val="26"/>
          <w:szCs w:val="26"/>
        </w:rPr>
        <w:t xml:space="preserve"> 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Дата подведения итогов аукциона:</w:t>
      </w:r>
      <w:r>
        <w:rPr>
          <w:rStyle w:val="950"/>
          <w:b w:val="0"/>
          <w:sz w:val="26"/>
          <w:szCs w:val="26"/>
        </w:rPr>
        <w:t xml:space="preserve"> 31 марта 2026 года.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50"/>
          <w:sz w:val="26"/>
          <w:szCs w:val="26"/>
        </w:rPr>
        <w:outlineLvl w:val="0"/>
      </w:pPr>
      <w:r>
        <w:rPr>
          <w:rStyle w:val="950"/>
          <w:sz w:val="26"/>
          <w:szCs w:val="26"/>
        </w:rPr>
        <w:t xml:space="preserve">Перечень документов, представляемых для участия в </w:t>
      </w:r>
      <w:r>
        <w:rPr>
          <w:rStyle w:val="950"/>
          <w:sz w:val="26"/>
          <w:szCs w:val="26"/>
        </w:rPr>
        <w:t xml:space="preserve">аукционе: </w:t>
      </w:r>
      <w:r>
        <w:rPr>
          <w:rStyle w:val="95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Style w:val="950"/>
          <w:b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50"/>
          <w:b w:val="0"/>
          <w:bCs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копии документов, удостоверяющих личность заявителя (для граждан);</w:t>
      </w:r>
      <w:r>
        <w:rPr>
          <w:rStyle w:val="950"/>
          <w:b w:val="0"/>
          <w:bCs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документы, подтверждающие внесение задатка.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rStyle w:val="950"/>
          <w:b w:val="0"/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rStyle w:val="950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50"/>
          <w:b w:val="0"/>
          <w:sz w:val="26"/>
          <w:szCs w:val="26"/>
        </w:rPr>
      </w:pPr>
      <w:r>
        <w:rPr>
          <w:rStyle w:val="950"/>
          <w:sz w:val="26"/>
          <w:szCs w:val="26"/>
        </w:rPr>
        <w:t xml:space="preserve">Размер задатка: </w:t>
      </w:r>
      <w:r>
        <w:rPr>
          <w:rStyle w:val="950"/>
          <w:b w:val="0"/>
          <w:sz w:val="26"/>
          <w:szCs w:val="26"/>
        </w:rPr>
        <w:t xml:space="preserve">620 000 (шестьсот двадцать тысяч) рублей 00 копеек.</w:t>
      </w:r>
      <w:r>
        <w:rPr>
          <w:rStyle w:val="950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</w:t>
      </w:r>
      <w:r>
        <w:rPr>
          <w:b/>
          <w:bCs/>
          <w:sz w:val="26"/>
          <w:szCs w:val="26"/>
        </w:rPr>
        <w:t xml:space="preserve">датка участниками аукциона и его возврат: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  <w:outlineLvl w:val="0"/>
      </w:pPr>
      <w:r>
        <w:rPr>
          <w:rStyle w:val="950"/>
          <w:b w:val="0"/>
          <w:sz w:val="26"/>
          <w:szCs w:val="26"/>
        </w:rPr>
        <w:t xml:space="preserve">Задаток вносится на расчетный счет организатора аукциона. 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  <w:outlineLvl w:val="0"/>
      </w:pPr>
      <w:r>
        <w:rPr>
          <w:rStyle w:val="950"/>
          <w:b w:val="0"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</w:t>
      </w:r>
      <w:r>
        <w:rPr>
          <w:rStyle w:val="950"/>
          <w:b w:val="0"/>
          <w:sz w:val="26"/>
          <w:szCs w:val="26"/>
        </w:rPr>
        <w:t xml:space="preserve">МФиНП</w:t>
      </w:r>
      <w:r>
        <w:rPr>
          <w:rStyle w:val="950"/>
          <w:b w:val="0"/>
          <w:sz w:val="26"/>
          <w:szCs w:val="26"/>
        </w:rPr>
        <w:t xml:space="preserve"> НСО (ДИиЗО НСО, л/с190010013), ИНН 5406214965 / КПП 54</w:t>
      </w:r>
      <w:r>
        <w:rPr>
          <w:rStyle w:val="950"/>
          <w:b w:val="0"/>
          <w:sz w:val="26"/>
          <w:szCs w:val="26"/>
        </w:rPr>
        <w:t xml:space="preserve">0601001, ОКЦ № 1 Сибирское ГУ Банка России//УФК по Новосибирской области </w:t>
      </w:r>
      <w:r>
        <w:rPr>
          <w:rStyle w:val="950"/>
          <w:b w:val="0"/>
          <w:sz w:val="26"/>
          <w:szCs w:val="26"/>
        </w:rPr>
        <w:t xml:space="preserve">г.Новосибирск</w:t>
      </w:r>
      <w:r>
        <w:rPr>
          <w:rStyle w:val="950"/>
          <w:b w:val="0"/>
          <w:sz w:val="26"/>
          <w:szCs w:val="26"/>
        </w:rPr>
        <w:t xml:space="preserve">, БИК 015004950, р/с 40102810445370000043, л/с 03222643500000005100, ОКТМО 50701000, КБК 00000000000000000510.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  <w:outlineLvl w:val="0"/>
      </w:pPr>
      <w:r>
        <w:rPr>
          <w:rStyle w:val="950"/>
          <w:b w:val="0"/>
          <w:sz w:val="26"/>
          <w:szCs w:val="26"/>
        </w:rPr>
        <w:t xml:space="preserve">Назначение платежа: задаток для участия в аукционе ДИиЗО НС</w:t>
      </w:r>
      <w:r>
        <w:rPr>
          <w:rStyle w:val="950"/>
          <w:b w:val="0"/>
          <w:sz w:val="26"/>
          <w:szCs w:val="26"/>
        </w:rPr>
        <w:t xml:space="preserve">О, земельный участок с кадастровым номером 54:19:040307:580.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sz w:val="26"/>
          <w:szCs w:val="26"/>
        </w:rPr>
        <w:outlineLvl w:val="0"/>
      </w:pPr>
      <w:r>
        <w:rPr>
          <w:rStyle w:val="950"/>
          <w:b w:val="0"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</w:t>
      </w:r>
      <w:r>
        <w:rPr>
          <w:rStyle w:val="950"/>
          <w:b w:val="0"/>
          <w:sz w:val="26"/>
          <w:szCs w:val="26"/>
        </w:rPr>
        <w:t xml:space="preserve">кса Российской Федерации.</w:t>
      </w:r>
      <w:r>
        <w:rPr>
          <w:rStyle w:val="950"/>
          <w:b w:val="0"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Возврат задатка производится организатором аукциона по реквизитам, указанным в заявке на участие в аукционе, в следующих случаях: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отозвал заявку на участие в аукционе до дня окончания срока приема заявок, </w:t>
      </w:r>
      <w:r>
        <w:rPr>
          <w:bCs/>
          <w:sz w:val="26"/>
          <w:szCs w:val="26"/>
        </w:rPr>
        <w:t xml:space="preserve">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заявитель не допущен к участию в а</w:t>
      </w:r>
      <w:r>
        <w:rPr>
          <w:bCs/>
          <w:sz w:val="26"/>
          <w:szCs w:val="26"/>
        </w:rPr>
        <w:t xml:space="preserve">укционе, – в течение трех рабочих дней со дня оформления протокола приема заявок на участие в аукционе;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</w:t>
      </w:r>
      <w:r>
        <w:rPr>
          <w:bCs/>
          <w:sz w:val="26"/>
          <w:szCs w:val="26"/>
        </w:rPr>
        <w:t xml:space="preserve">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</w:t>
      </w:r>
      <w:r>
        <w:rPr>
          <w:bCs/>
          <w:sz w:val="26"/>
          <w:szCs w:val="26"/>
        </w:rPr>
        <w:t xml:space="preserve">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Задаток не возвращается в случае уклонения от заключения договора купли-продажи земельного участка: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единственному заявителю, признанному участником аукциона;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единственному принявшему участие в аукционе участнику;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участнику, признанному победителем аукциона;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участнику аукциона, который сделал предпоследнее предложение о цене предмета аукциона, если догов</w:t>
      </w:r>
      <w:r>
        <w:rPr>
          <w:bCs/>
          <w:sz w:val="26"/>
          <w:szCs w:val="26"/>
        </w:rPr>
        <w:t xml:space="preserve">ор купли-продажи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платы за земельный участок.</w:t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50"/>
          <w:sz w:val="26"/>
          <w:szCs w:val="26"/>
        </w:rPr>
      </w:pPr>
      <w:r>
        <w:rPr>
          <w:rStyle w:val="950"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rStyle w:val="950"/>
          <w:sz w:val="26"/>
          <w:szCs w:val="26"/>
        </w:rPr>
        <w:t xml:space="preserve">о существенных условиях договора купли-продажи земельного участка: </w:t>
      </w:r>
      <w:r>
        <w:rPr>
          <w:rStyle w:val="950"/>
          <w:sz w:val="26"/>
          <w:szCs w:val="26"/>
        </w:rPr>
      </w:r>
    </w:p>
    <w:p>
      <w:pPr>
        <w:numPr>
          <w:ilvl w:val="0"/>
          <w:numId w:val="10"/>
        </w:numPr>
        <w:ind w:right="-23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цена земельного участка устанавливается по итогам аукциона;</w:t>
      </w:r>
      <w:r>
        <w:rPr>
          <w:bCs/>
          <w:sz w:val="26"/>
          <w:szCs w:val="26"/>
        </w:rPr>
      </w:r>
    </w:p>
    <w:p>
      <w:pPr>
        <w:numPr>
          <w:ilvl w:val="0"/>
          <w:numId w:val="10"/>
        </w:numPr>
        <w:ind w:right="-23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цена земельного участка за минусом задатка оплачивается в течение 7 (семи) календарных дней с момента заключения договора купли-продажи.</w:t>
      </w:r>
      <w:r>
        <w:rPr>
          <w:bCs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купли-продажи земельного участка: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не допуск</w:t>
      </w:r>
      <w:r>
        <w:rPr>
          <w:sz w:val="26"/>
          <w:szCs w:val="26"/>
        </w:rPr>
        <w:t xml:space="preserve">ается заключение договора купли-продажи земельного участка, ранее чем через десять дней со дня размещения протокола рассмотрения заявок на участие в электронном аукционе в </w:t>
      </w:r>
      <w:r>
        <w:rPr>
          <w:sz w:val="26"/>
          <w:szCs w:val="26"/>
        </w:rPr>
        <w:t xml:space="preserve">случае, если электронный аукцион признан несостоявшимся, либо протокола о результата</w:t>
      </w:r>
      <w:r>
        <w:rPr>
          <w:sz w:val="26"/>
          <w:szCs w:val="26"/>
        </w:rPr>
        <w:t xml:space="preserve">х электронного аукциона размещен на официальном сайте.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</w:t>
      </w:r>
      <w:r>
        <w:rPr>
          <w:sz w:val="26"/>
          <w:szCs w:val="26"/>
        </w:rPr>
        <w:t xml:space="preserve">м лицам, с которыми заключается договор купли-продажи земельного участка, подписанный проект договора купли-продажи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купли-продажи земельного участка, заключается в электронной форм</w:t>
      </w:r>
      <w:r>
        <w:rPr>
          <w:sz w:val="26"/>
          <w:szCs w:val="26"/>
        </w:rPr>
        <w:t xml:space="preserve">е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купли-продажи в течение десяти рабочих дней со дня направления победителю аукциона проекта указанного договора не будет им подписан и представлен в депа</w:t>
      </w:r>
      <w:r>
        <w:rPr>
          <w:bCs/>
          <w:sz w:val="26"/>
          <w:szCs w:val="26"/>
        </w:rPr>
        <w:t xml:space="preserve">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</w:t>
      </w:r>
      <w:r>
        <w:rPr>
          <w:bCs/>
          <w:sz w:val="26"/>
          <w:szCs w:val="26"/>
        </w:rPr>
        <w:t xml:space="preserve">м аукциона.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/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уполномоченн</w:t>
      </w:r>
      <w:r>
        <w:rPr>
          <w:bCs/>
          <w:sz w:val="26"/>
          <w:szCs w:val="26"/>
        </w:rPr>
        <w:t xml:space="preserve">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</w:t>
      </w:r>
      <w:r>
        <w:rPr>
          <w:bCs/>
          <w:sz w:val="26"/>
          <w:szCs w:val="26"/>
        </w:rPr>
        <w:t xml:space="preserve">вляется самостоятельно.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9" w:tooltip="http://www.torgi.gov.ru" w:history="1">
        <w:r>
          <w:rPr>
            <w:rStyle w:val="958"/>
            <w:sz w:val="26"/>
            <w:szCs w:val="26"/>
            <w:lang w:val="en-US"/>
          </w:rPr>
          <w:t xml:space="preserve">www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torgi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gov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</w:t>
      </w:r>
      <w:r>
        <w:rPr>
          <w:sz w:val="26"/>
          <w:szCs w:val="26"/>
        </w:rPr>
        <w:t xml:space="preserve">шений Новосибирской области www.dizo.nso.ru.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50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rStyle w:val="950"/>
          <w:b w:val="0"/>
          <w:sz w:val="26"/>
          <w:szCs w:val="26"/>
        </w:rPr>
        <w:t xml:space="preserve"> принимает решение об отказе в п</w:t>
      </w:r>
      <w:r>
        <w:rPr>
          <w:rStyle w:val="950"/>
          <w:b w:val="0"/>
          <w:sz w:val="26"/>
          <w:szCs w:val="26"/>
        </w:rPr>
        <w:t xml:space="preserve">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20" w:tooltip="http://www.torgi.gov.ru" w:history="1">
        <w:r>
          <w:rPr>
            <w:rStyle w:val="958"/>
            <w:sz w:val="26"/>
            <w:szCs w:val="26"/>
            <w:lang w:val="en-US"/>
          </w:rPr>
          <w:t xml:space="preserve">www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torgi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gov</w:t>
        </w:r>
        <w:r>
          <w:rPr>
            <w:rStyle w:val="958"/>
            <w:sz w:val="26"/>
            <w:szCs w:val="26"/>
          </w:rPr>
          <w:t xml:space="preserve">.</w:t>
        </w:r>
        <w:r>
          <w:rPr>
            <w:rStyle w:val="958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</w:t>
      </w:r>
      <w:r>
        <w:rPr>
          <w:sz w:val="26"/>
          <w:szCs w:val="26"/>
        </w:rPr>
        <w:t xml:space="preserve">ения.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Приложением к настоящему извещению является: форма заявки на участие в аукционе.</w:t>
      </w:r>
      <w:r>
        <w:rPr>
          <w:rStyle w:val="950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50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rStyle w:val="950"/>
          <w:b w:val="0"/>
          <w:bCs w:val="0"/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851" w:left="1418" w:header="567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14</w:t>
    </w:r>
    <w:r>
      <w:fldChar w:fldCharType="end"/>
    </w:r>
    <w:r/>
  </w:p>
  <w:p>
    <w:pPr>
      <w:pStyle w:val="95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54"/>
      </w:rPr>
      <w:framePr w:wrap="around" w:vAnchor="text" w:hAnchor="margin" w:xAlign="right" w:y="1"/>
    </w:pPr>
    <w:r>
      <w:rPr>
        <w:rStyle w:val="954"/>
      </w:rPr>
      <w:fldChar w:fldCharType="begin"/>
    </w:r>
    <w:r>
      <w:rPr>
        <w:rStyle w:val="954"/>
      </w:rPr>
      <w:instrText xml:space="preserve">PAGE  </w:instrText>
    </w:r>
    <w:r>
      <w:rPr>
        <w:rStyle w:val="954"/>
      </w:rPr>
      <w:fldChar w:fldCharType="end"/>
    </w:r>
    <w:r>
      <w:rPr>
        <w:rStyle w:val="954"/>
      </w:rPr>
    </w:r>
  </w:p>
  <w:p>
    <w:pPr>
      <w:pStyle w:val="95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74"/>
        <w:jc w:val="both"/>
      </w:pPr>
      <w:r>
        <w:rPr>
          <w:rStyle w:val="976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  <w:r/>
    </w:p>
    <w:p>
      <w:pPr>
        <w:pStyle w:val="974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  <w:tabs>
          <w:tab w:val="num" w:pos="17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  <w:tabs>
          <w:tab w:val="num" w:pos="17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360"/>
        <w:tabs>
          <w:tab w:val="num" w:pos="19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76" w:hanging="360"/>
        <w:tabs>
          <w:tab w:val="num" w:pos="267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96" w:hanging="180"/>
        <w:tabs>
          <w:tab w:val="num" w:pos="339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16" w:hanging="360"/>
        <w:tabs>
          <w:tab w:val="num" w:pos="411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36" w:hanging="360"/>
        <w:tabs>
          <w:tab w:val="num" w:pos="483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56" w:hanging="180"/>
        <w:tabs>
          <w:tab w:val="num" w:pos="555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76" w:hanging="360"/>
        <w:tabs>
          <w:tab w:val="num" w:pos="627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96" w:hanging="360"/>
        <w:tabs>
          <w:tab w:val="num" w:pos="699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16" w:hanging="180"/>
        <w:tabs>
          <w:tab w:val="num" w:pos="7716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5"/>
  </w:num>
  <w:num w:numId="5">
    <w:abstractNumId w:val="7"/>
  </w:num>
  <w:num w:numId="6">
    <w:abstractNumId w:val="12"/>
  </w:num>
  <w:num w:numId="7">
    <w:abstractNumId w:val="9"/>
  </w:num>
  <w:num w:numId="8">
    <w:abstractNumId w:val="14"/>
  </w:num>
  <w:num w:numId="9">
    <w:abstractNumId w:val="16"/>
  </w:num>
  <w:num w:numId="10">
    <w:abstractNumId w:val="4"/>
  </w:num>
  <w:num w:numId="11">
    <w:abstractNumId w:val="5"/>
  </w:num>
  <w:num w:numId="12">
    <w:abstractNumId w:val="10"/>
  </w:num>
  <w:num w:numId="13">
    <w:abstractNumId w:val="16"/>
  </w:num>
  <w:num w:numId="14">
    <w:abstractNumId w:val="10"/>
  </w:num>
  <w:num w:numId="15">
    <w:abstractNumId w:val="4"/>
  </w:num>
  <w:num w:numId="16">
    <w:abstractNumId w:val="16"/>
  </w:num>
  <w:num w:numId="17">
    <w:abstractNumId w:val="10"/>
  </w:num>
  <w:num w:numId="18">
    <w:abstractNumId w:val="4"/>
  </w:num>
  <w:num w:numId="19">
    <w:abstractNumId w:val="16"/>
  </w:num>
  <w:num w:numId="20">
    <w:abstractNumId w:val="10"/>
  </w:num>
  <w:num w:numId="21">
    <w:abstractNumId w:val="4"/>
  </w:num>
  <w:num w:numId="22">
    <w:abstractNumId w:val="1"/>
  </w:num>
  <w:num w:numId="23">
    <w:abstractNumId w:val="8"/>
  </w:num>
  <w:num w:numId="24">
    <w:abstractNumId w:val="6"/>
  </w:num>
  <w:num w:numId="25">
    <w:abstractNumId w:val="17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 w:default="1">
    <w:name w:val="Normal"/>
    <w:qFormat/>
    <w:rPr>
      <w:sz w:val="24"/>
      <w:szCs w:val="24"/>
    </w:rPr>
  </w:style>
  <w:style w:type="paragraph" w:styleId="761">
    <w:name w:val="Heading 1"/>
    <w:basedOn w:val="760"/>
    <w:next w:val="760"/>
    <w:link w:val="7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2">
    <w:name w:val="Heading 2"/>
    <w:basedOn w:val="760"/>
    <w:next w:val="760"/>
    <w:link w:val="7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3">
    <w:name w:val="Heading 3"/>
    <w:basedOn w:val="760"/>
    <w:next w:val="760"/>
    <w:link w:val="7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next w:val="760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6">
    <w:name w:val="Heading 6"/>
    <w:basedOn w:val="760"/>
    <w:next w:val="760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760"/>
    <w:next w:val="760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760"/>
    <w:next w:val="760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760"/>
    <w:next w:val="760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Caption Char"/>
    <w:basedOn w:val="770"/>
    <w:uiPriority w:val="35"/>
    <w:rPr>
      <w:b/>
      <w:bCs/>
      <w:color w:val="4f81bd" w:themeColor="accent1"/>
      <w:sz w:val="18"/>
      <w:szCs w:val="18"/>
    </w:rPr>
  </w:style>
  <w:style w:type="character" w:styleId="774" w:customStyle="1">
    <w:name w:val="Heading 1 Char"/>
    <w:basedOn w:val="770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70"/>
    <w:uiPriority w:val="9"/>
    <w:rPr>
      <w:rFonts w:ascii="Arial" w:hAnsi="Arial" w:eastAsia="Arial" w:cs="Arial"/>
      <w:sz w:val="34"/>
    </w:rPr>
  </w:style>
  <w:style w:type="character" w:styleId="776" w:customStyle="1">
    <w:name w:val="Heading 3 Char"/>
    <w:basedOn w:val="770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Heading 4 Char"/>
    <w:basedOn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basedOn w:val="770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6 Char"/>
    <w:basedOn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7 Char"/>
    <w:basedOn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0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0"/>
    <w:uiPriority w:val="10"/>
    <w:rPr>
      <w:sz w:val="48"/>
      <w:szCs w:val="48"/>
    </w:rPr>
  </w:style>
  <w:style w:type="character" w:styleId="784" w:customStyle="1">
    <w:name w:val="Subtitle Char"/>
    <w:basedOn w:val="770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Endnote Text Char"/>
    <w:uiPriority w:val="99"/>
    <w:rPr>
      <w:sz w:val="20"/>
    </w:rPr>
  </w:style>
  <w:style w:type="character" w:styleId="788" w:customStyle="1">
    <w:name w:val="Заголовок 1 Знак"/>
    <w:basedOn w:val="770"/>
    <w:link w:val="761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basedOn w:val="770"/>
    <w:link w:val="762"/>
    <w:uiPriority w:val="9"/>
    <w:rPr>
      <w:rFonts w:ascii="Arial" w:hAnsi="Arial" w:eastAsia="Arial" w:cs="Arial"/>
      <w:sz w:val="34"/>
    </w:rPr>
  </w:style>
  <w:style w:type="character" w:styleId="790" w:customStyle="1">
    <w:name w:val="Заголовок 3 Знак"/>
    <w:basedOn w:val="770"/>
    <w:link w:val="763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Заголовок 4 Знак"/>
    <w:basedOn w:val="77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Заголовок 5 Знак"/>
    <w:basedOn w:val="77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Заголовок 6 Знак"/>
    <w:basedOn w:val="770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basedOn w:val="770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basedOn w:val="770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basedOn w:val="77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No Spacing"/>
    <w:uiPriority w:val="1"/>
    <w:qFormat/>
  </w:style>
  <w:style w:type="paragraph" w:styleId="798">
    <w:name w:val="Title"/>
    <w:basedOn w:val="760"/>
    <w:next w:val="760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9" w:customStyle="1">
    <w:name w:val="Заголовок Знак"/>
    <w:basedOn w:val="770"/>
    <w:link w:val="798"/>
    <w:uiPriority w:val="10"/>
    <w:rPr>
      <w:sz w:val="48"/>
      <w:szCs w:val="48"/>
    </w:rPr>
  </w:style>
  <w:style w:type="paragraph" w:styleId="800">
    <w:name w:val="Subtitle"/>
    <w:basedOn w:val="760"/>
    <w:next w:val="760"/>
    <w:link w:val="801"/>
    <w:uiPriority w:val="11"/>
    <w:qFormat/>
    <w:pPr>
      <w:spacing w:before="200" w:after="200"/>
    </w:pPr>
  </w:style>
  <w:style w:type="character" w:styleId="801" w:customStyle="1">
    <w:name w:val="Подзаголовок Знак"/>
    <w:basedOn w:val="770"/>
    <w:link w:val="800"/>
    <w:uiPriority w:val="11"/>
    <w:rPr>
      <w:sz w:val="24"/>
      <w:szCs w:val="24"/>
    </w:rPr>
  </w:style>
  <w:style w:type="paragraph" w:styleId="802">
    <w:name w:val="Quote"/>
    <w:basedOn w:val="760"/>
    <w:next w:val="760"/>
    <w:link w:val="803"/>
    <w:uiPriority w:val="29"/>
    <w:qFormat/>
    <w:pPr>
      <w:ind w:left="720" w:right="720"/>
    </w:pPr>
    <w:rPr>
      <w:i/>
    </w:rPr>
  </w:style>
  <w:style w:type="character" w:styleId="803" w:customStyle="1">
    <w:name w:val="Цитата 2 Знак"/>
    <w:link w:val="802"/>
    <w:uiPriority w:val="29"/>
    <w:rPr>
      <w:i/>
    </w:rPr>
  </w:style>
  <w:style w:type="paragraph" w:styleId="804">
    <w:name w:val="Intense Quote"/>
    <w:basedOn w:val="760"/>
    <w:next w:val="760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 w:customStyle="1">
    <w:name w:val="Выделенная цитата Знак"/>
    <w:link w:val="804"/>
    <w:uiPriority w:val="30"/>
    <w:rPr>
      <w:i/>
    </w:rPr>
  </w:style>
  <w:style w:type="character" w:styleId="806" w:customStyle="1">
    <w:name w:val="Header Char"/>
    <w:basedOn w:val="770"/>
    <w:uiPriority w:val="99"/>
  </w:style>
  <w:style w:type="character" w:styleId="807" w:customStyle="1">
    <w:name w:val="Footer Char"/>
    <w:basedOn w:val="770"/>
    <w:uiPriority w:val="99"/>
  </w:style>
  <w:style w:type="paragraph" w:styleId="808">
    <w:name w:val="Caption"/>
    <w:basedOn w:val="760"/>
    <w:next w:val="760"/>
    <w:link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 w:customStyle="1">
    <w:name w:val="Название объекта Знак"/>
    <w:link w:val="808"/>
    <w:uiPriority w:val="99"/>
  </w:style>
  <w:style w:type="table" w:styleId="810" w:customStyle="1">
    <w:name w:val="Table Grid Light"/>
    <w:basedOn w:val="7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1">
    <w:name w:val="Plain Table 1"/>
    <w:basedOn w:val="7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2"/>
    <w:basedOn w:val="77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3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basedOn w:val="77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1"/>
    <w:basedOn w:val="7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2"/>
    <w:basedOn w:val="7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3"/>
    <w:basedOn w:val="7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4"/>
    <w:basedOn w:val="7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5"/>
    <w:basedOn w:val="7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6"/>
    <w:basedOn w:val="7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basedOn w:val="7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"/>
    <w:basedOn w:val="7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"/>
    <w:basedOn w:val="7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"/>
    <w:basedOn w:val="7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"/>
    <w:basedOn w:val="7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"/>
    <w:basedOn w:val="7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"/>
    <w:basedOn w:val="7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basedOn w:val="7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"/>
    <w:basedOn w:val="7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"/>
    <w:basedOn w:val="7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"/>
    <w:basedOn w:val="7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"/>
    <w:basedOn w:val="7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"/>
    <w:basedOn w:val="7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"/>
    <w:basedOn w:val="7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basedOn w:val="77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"/>
    <w:basedOn w:val="77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9" w:customStyle="1">
    <w:name w:val="Grid Table 4 - Accent 2"/>
    <w:basedOn w:val="77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Grid Table 4 - Accent 3"/>
    <w:basedOn w:val="77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1" w:customStyle="1">
    <w:name w:val="Grid Table 4 - Accent 4"/>
    <w:basedOn w:val="77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Grid Table 4 - Accent 5"/>
    <w:basedOn w:val="77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3" w:customStyle="1">
    <w:name w:val="Grid Table 4 - Accent 6"/>
    <w:basedOn w:val="77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4">
    <w:name w:val="Grid Table 5 Dark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1">
    <w:name w:val="Grid Table 6 Colorful"/>
    <w:basedOn w:val="77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basedOn w:val="77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3" w:customStyle="1">
    <w:name w:val="Grid Table 6 Colorful - Accent 2"/>
    <w:basedOn w:val="7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4" w:customStyle="1">
    <w:name w:val="Grid Table 6 Colorful - Accent 3"/>
    <w:basedOn w:val="77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5" w:customStyle="1">
    <w:name w:val="Grid Table 6 Colorful - Accent 4"/>
    <w:basedOn w:val="7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6" w:customStyle="1">
    <w:name w:val="Grid Table 6 Colorful - Accent 5"/>
    <w:basedOn w:val="77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6 Colorful - Accent 6"/>
    <w:basedOn w:val="77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>
    <w:name w:val="Grid Table 7 Colorful"/>
    <w:basedOn w:val="77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1"/>
    <w:basedOn w:val="77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2"/>
    <w:basedOn w:val="77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3"/>
    <w:basedOn w:val="77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4"/>
    <w:basedOn w:val="77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5"/>
    <w:basedOn w:val="77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6"/>
    <w:basedOn w:val="77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basedOn w:val="77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"/>
    <w:basedOn w:val="77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"/>
    <w:basedOn w:val="77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"/>
    <w:basedOn w:val="77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"/>
    <w:basedOn w:val="77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"/>
    <w:basedOn w:val="77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"/>
    <w:basedOn w:val="77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basedOn w:val="77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1"/>
    <w:basedOn w:val="77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2"/>
    <w:basedOn w:val="77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3"/>
    <w:basedOn w:val="77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4"/>
    <w:basedOn w:val="77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5"/>
    <w:basedOn w:val="77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6"/>
    <w:basedOn w:val="77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basedOn w:val="7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1"/>
    <w:basedOn w:val="77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2"/>
    <w:basedOn w:val="7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3"/>
    <w:basedOn w:val="77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4"/>
    <w:basedOn w:val="7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5"/>
    <w:basedOn w:val="77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6"/>
    <w:basedOn w:val="77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basedOn w:val="7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1"/>
    <w:basedOn w:val="77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2"/>
    <w:basedOn w:val="77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3"/>
    <w:basedOn w:val="77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4"/>
    <w:basedOn w:val="77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5"/>
    <w:basedOn w:val="77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6"/>
    <w:basedOn w:val="77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basedOn w:val="77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1"/>
    <w:basedOn w:val="77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2"/>
    <w:basedOn w:val="77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3"/>
    <w:basedOn w:val="77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4"/>
    <w:basedOn w:val="77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5"/>
    <w:basedOn w:val="77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6"/>
    <w:basedOn w:val="77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>
    <w:name w:val="List Table 6 Colorful"/>
    <w:basedOn w:val="77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1" w:customStyle="1">
    <w:name w:val="List Table 6 Colorful - Accent 1"/>
    <w:basedOn w:val="77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2" w:customStyle="1">
    <w:name w:val="List Table 6 Colorful - Accent 2"/>
    <w:basedOn w:val="77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List Table 6 Colorful - Accent 3"/>
    <w:basedOn w:val="77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4" w:customStyle="1">
    <w:name w:val="List Table 6 Colorful - Accent 4"/>
    <w:basedOn w:val="77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List Table 6 Colorful - Accent 5"/>
    <w:basedOn w:val="77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6" w:customStyle="1">
    <w:name w:val="List Table 6 Colorful - Accent 6"/>
    <w:basedOn w:val="77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7">
    <w:name w:val="List Table 7 Colorful"/>
    <w:basedOn w:val="77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1"/>
    <w:basedOn w:val="77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2"/>
    <w:basedOn w:val="77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3"/>
    <w:basedOn w:val="77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4"/>
    <w:basedOn w:val="77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5"/>
    <w:basedOn w:val="77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6"/>
    <w:basedOn w:val="77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ned - Accent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Lined - Accent 1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Lined - Accent 2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Lined - Accent 3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Lined - Accent 4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Lined - Accent 5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Lined - Accent 6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 &amp; Lined - Accent"/>
    <w:basedOn w:val="77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2" w:customStyle="1">
    <w:name w:val="Bordered &amp; Lined - Accent 1"/>
    <w:basedOn w:val="77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3" w:customStyle="1">
    <w:name w:val="Bordered &amp; Lined - Accent 2"/>
    <w:basedOn w:val="77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4" w:customStyle="1">
    <w:name w:val="Bordered &amp; Lined - Accent 3"/>
    <w:basedOn w:val="77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5" w:customStyle="1">
    <w:name w:val="Bordered &amp; Lined - Accent 4"/>
    <w:basedOn w:val="77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6" w:customStyle="1">
    <w:name w:val="Bordered &amp; Lined - Accent 5"/>
    <w:basedOn w:val="77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7" w:customStyle="1">
    <w:name w:val="Bordered &amp; Lined - Accent 6"/>
    <w:basedOn w:val="77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8" w:customStyle="1">
    <w:name w:val="Bordered"/>
    <w:basedOn w:val="77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9" w:customStyle="1">
    <w:name w:val="Bordered - Accent 1"/>
    <w:basedOn w:val="7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0" w:customStyle="1">
    <w:name w:val="Bordered - Accent 2"/>
    <w:basedOn w:val="7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1" w:customStyle="1">
    <w:name w:val="Bordered - Accent 3"/>
    <w:basedOn w:val="7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2" w:customStyle="1">
    <w:name w:val="Bordered - Accent 4"/>
    <w:basedOn w:val="7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3" w:customStyle="1">
    <w:name w:val="Bordered - Accent 5"/>
    <w:basedOn w:val="7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4" w:customStyle="1">
    <w:name w:val="Bordered - Accent 6"/>
    <w:basedOn w:val="7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5" w:customStyle="1">
    <w:name w:val="Footnote Text Char"/>
    <w:uiPriority w:val="99"/>
    <w:rPr>
      <w:sz w:val="18"/>
    </w:rPr>
  </w:style>
  <w:style w:type="paragraph" w:styleId="936">
    <w:name w:val="endnote text"/>
    <w:basedOn w:val="760"/>
    <w:link w:val="937"/>
    <w:uiPriority w:val="99"/>
    <w:semiHidden/>
    <w:unhideWhenUsed/>
    <w:rPr>
      <w:sz w:val="20"/>
    </w:rPr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basedOn w:val="770"/>
    <w:uiPriority w:val="99"/>
    <w:semiHidden/>
    <w:unhideWhenUsed/>
    <w:rPr>
      <w:vertAlign w:val="superscript"/>
    </w:rPr>
  </w:style>
  <w:style w:type="paragraph" w:styleId="939">
    <w:name w:val="toc 1"/>
    <w:basedOn w:val="760"/>
    <w:next w:val="760"/>
    <w:uiPriority w:val="39"/>
    <w:unhideWhenUsed/>
    <w:pPr>
      <w:spacing w:after="57"/>
    </w:pPr>
  </w:style>
  <w:style w:type="paragraph" w:styleId="940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41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42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43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44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45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46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47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60"/>
    <w:next w:val="760"/>
    <w:uiPriority w:val="99"/>
    <w:unhideWhenUsed/>
  </w:style>
  <w:style w:type="character" w:styleId="950">
    <w:name w:val="Strong"/>
    <w:qFormat/>
    <w:rPr>
      <w:b/>
      <w:bCs/>
    </w:rPr>
  </w:style>
  <w:style w:type="paragraph" w:styleId="951">
    <w:name w:val="Document Map"/>
    <w:basedOn w:val="76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952">
    <w:name w:val="Table Grid"/>
    <w:basedOn w:val="77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Footer"/>
    <w:basedOn w:val="760"/>
    <w:link w:val="966"/>
    <w:uiPriority w:val="99"/>
    <w:pPr>
      <w:tabs>
        <w:tab w:val="center" w:pos="4677" w:leader="none"/>
        <w:tab w:val="right" w:pos="9355" w:leader="none"/>
      </w:tabs>
    </w:pPr>
  </w:style>
  <w:style w:type="character" w:styleId="954">
    <w:name w:val="page number"/>
    <w:basedOn w:val="770"/>
  </w:style>
  <w:style w:type="paragraph" w:styleId="955">
    <w:name w:val="List Paragraph"/>
    <w:basedOn w:val="760"/>
    <w:uiPriority w:val="34"/>
    <w:qFormat/>
    <w:pPr>
      <w:contextualSpacing/>
      <w:ind w:left="720"/>
    </w:pPr>
  </w:style>
  <w:style w:type="paragraph" w:styleId="956">
    <w:name w:val="Balloon Text"/>
    <w:basedOn w:val="760"/>
    <w:link w:val="957"/>
    <w:uiPriority w:val="99"/>
    <w:semiHidden/>
    <w:unhideWhenUsed/>
    <w:rPr>
      <w:rFonts w:ascii="Tahoma" w:hAnsi="Tahoma"/>
      <w:sz w:val="16"/>
      <w:szCs w:val="16"/>
    </w:rPr>
  </w:style>
  <w:style w:type="character" w:styleId="957" w:customStyle="1">
    <w:name w:val="Текст выноски Знак"/>
    <w:link w:val="956"/>
    <w:uiPriority w:val="99"/>
    <w:semiHidden/>
    <w:rPr>
      <w:rFonts w:ascii="Tahoma" w:hAnsi="Tahoma" w:cs="Tahoma"/>
      <w:sz w:val="16"/>
      <w:szCs w:val="16"/>
    </w:rPr>
  </w:style>
  <w:style w:type="character" w:styleId="958">
    <w:name w:val="Hyperlink"/>
    <w:uiPriority w:val="99"/>
    <w:unhideWhenUsed/>
    <w:rPr>
      <w:color w:val="0000ff"/>
      <w:u w:val="single"/>
    </w:rPr>
  </w:style>
  <w:style w:type="paragraph" w:styleId="95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60">
    <w:name w:val="Header"/>
    <w:basedOn w:val="760"/>
    <w:link w:val="9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61" w:customStyle="1">
    <w:name w:val="Верхний колонтитул Знак"/>
    <w:link w:val="960"/>
    <w:uiPriority w:val="99"/>
    <w:rPr>
      <w:sz w:val="24"/>
      <w:szCs w:val="24"/>
    </w:rPr>
  </w:style>
  <w:style w:type="paragraph" w:styleId="962">
    <w:name w:val="Normal (Web)"/>
    <w:basedOn w:val="760"/>
    <w:link w:val="963"/>
    <w:pPr>
      <w:spacing w:before="100" w:beforeAutospacing="1" w:after="100" w:afterAutospacing="1"/>
    </w:pPr>
  </w:style>
  <w:style w:type="character" w:styleId="963" w:customStyle="1">
    <w:name w:val="Обычный (веб) Знак"/>
    <w:link w:val="962"/>
    <w:rPr>
      <w:sz w:val="24"/>
      <w:szCs w:val="24"/>
    </w:rPr>
  </w:style>
  <w:style w:type="paragraph" w:styleId="964">
    <w:name w:val="Body Text Indent 3"/>
    <w:basedOn w:val="760"/>
    <w:link w:val="965"/>
    <w:pPr>
      <w:ind w:right="-143" w:firstLine="709"/>
      <w:jc w:val="both"/>
    </w:pPr>
    <w:rPr>
      <w:sz w:val="28"/>
      <w:szCs w:val="28"/>
    </w:rPr>
  </w:style>
  <w:style w:type="character" w:styleId="965" w:customStyle="1">
    <w:name w:val="Основной текст с отступом 3 Знак"/>
    <w:link w:val="964"/>
    <w:rPr>
      <w:sz w:val="28"/>
      <w:szCs w:val="28"/>
    </w:rPr>
  </w:style>
  <w:style w:type="character" w:styleId="966" w:customStyle="1">
    <w:name w:val="Нижний колонтитул Знак"/>
    <w:link w:val="953"/>
    <w:uiPriority w:val="99"/>
    <w:rPr>
      <w:sz w:val="24"/>
      <w:szCs w:val="24"/>
    </w:rPr>
  </w:style>
  <w:style w:type="paragraph" w:styleId="967">
    <w:name w:val="Body Text Indent"/>
    <w:basedOn w:val="760"/>
    <w:link w:val="968"/>
    <w:uiPriority w:val="99"/>
    <w:semiHidden/>
    <w:unhideWhenUsed/>
    <w:pPr>
      <w:ind w:left="283"/>
      <w:spacing w:after="120"/>
    </w:pPr>
  </w:style>
  <w:style w:type="character" w:styleId="968" w:customStyle="1">
    <w:name w:val="Основной текст с отступом Знак"/>
    <w:basedOn w:val="770"/>
    <w:link w:val="967"/>
    <w:uiPriority w:val="99"/>
    <w:semiHidden/>
    <w:rPr>
      <w:sz w:val="24"/>
      <w:szCs w:val="24"/>
    </w:rPr>
  </w:style>
  <w:style w:type="paragraph" w:styleId="969" w:customStyle="1">
    <w:name w:val="ConsPlusNormal"/>
    <w:rPr>
      <w:sz w:val="28"/>
      <w:szCs w:val="28"/>
    </w:rPr>
  </w:style>
  <w:style w:type="paragraph" w:styleId="970" w:customStyle="1">
    <w:name w:val="Табличный_боковик_11"/>
    <w:link w:val="971"/>
    <w:qFormat/>
    <w:rPr>
      <w:sz w:val="22"/>
      <w:szCs w:val="24"/>
    </w:rPr>
  </w:style>
  <w:style w:type="character" w:styleId="971" w:customStyle="1">
    <w:name w:val="Табличный_боковик_11 Знак"/>
    <w:link w:val="970"/>
    <w:rPr>
      <w:sz w:val="22"/>
      <w:szCs w:val="24"/>
    </w:rPr>
  </w:style>
  <w:style w:type="character" w:styleId="972">
    <w:name w:val="FollowedHyperlink"/>
    <w:basedOn w:val="770"/>
    <w:uiPriority w:val="99"/>
    <w:semiHidden/>
    <w:unhideWhenUsed/>
    <w:rPr>
      <w:color w:val="800080" w:themeColor="followedHyperlink"/>
      <w:u w:val="single"/>
    </w:rPr>
  </w:style>
  <w:style w:type="paragraph" w:styleId="973" w:customStyle="1">
    <w:name w:val="Default"/>
    <w:rPr>
      <w:color w:val="000000"/>
      <w:sz w:val="24"/>
      <w:szCs w:val="24"/>
    </w:rPr>
  </w:style>
  <w:style w:type="paragraph" w:styleId="974">
    <w:name w:val="footnote text"/>
    <w:basedOn w:val="760"/>
    <w:link w:val="975"/>
    <w:uiPriority w:val="99"/>
    <w:semiHidden/>
    <w:unhideWhenUsed/>
    <w:rPr>
      <w:sz w:val="20"/>
      <w:szCs w:val="20"/>
    </w:rPr>
  </w:style>
  <w:style w:type="character" w:styleId="975" w:customStyle="1">
    <w:name w:val="Текст сноски Знак"/>
    <w:basedOn w:val="770"/>
    <w:link w:val="974"/>
    <w:uiPriority w:val="99"/>
    <w:semiHidden/>
  </w:style>
  <w:style w:type="character" w:styleId="976">
    <w:name w:val="footnote reference"/>
    <w:basedOn w:val="770"/>
    <w:uiPriority w:val="99"/>
    <w:semiHidden/>
    <w:unhideWhenUsed/>
    <w:rPr>
      <w:vertAlign w:val="superscript"/>
    </w:rPr>
  </w:style>
  <w:style w:type="paragraph" w:styleId="977" w:customStyle="1">
    <w:name w:val="docdata"/>
    <w:basedOn w:val="761"/>
    <w:pPr>
      <w:keepLines w:val="0"/>
      <w:keepNext w:val="0"/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</w:rPr>
  </w:style>
  <w:style w:type="character" w:styleId="978" w:customStyle="1">
    <w:name w:val="91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dizo.nso.ru" TargetMode="External"/><Relationship Id="rId14" Type="http://schemas.openxmlformats.org/officeDocument/2006/relationships/hyperlink" Target="mailto:dgi@nso.ru" TargetMode="External"/><Relationship Id="rId15" Type="http://schemas.openxmlformats.org/officeDocument/2006/relationships/hyperlink" Target="http://www.rts-tender.ru" TargetMode="External"/><Relationship Id="rId16" Type="http://schemas.openxmlformats.org/officeDocument/2006/relationships/hyperlink" Target="mailto:iSupport@rts-tender.ru" TargetMode="External"/><Relationship Id="rId17" Type="http://schemas.openxmlformats.org/officeDocument/2006/relationships/hyperlink" Target="https://www.rts-tender.ru/platform-rules/platform-property-sales" TargetMode="External"/><Relationship Id="rId18" Type="http://schemas.openxmlformats.org/officeDocument/2006/relationships/hyperlink" Target="https://www.rts-tender.ru/tariffs/platform-property-sales-tariffs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1CCCD-9477-4354-BF07-3478A734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subject/>
  <dc:creator>Admin</dc:creator>
  <cp:keywords/>
  <dc:description/>
  <cp:lastModifiedBy>sasdv</cp:lastModifiedBy>
  <cp:revision>7</cp:revision>
  <dcterms:created xsi:type="dcterms:W3CDTF">2026-02-19T09:40:00Z</dcterms:created>
  <dcterms:modified xsi:type="dcterms:W3CDTF">2026-03-06T01:40:36Z</dcterms:modified>
</cp:coreProperties>
</file>