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7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</w:t>
      </w:r>
      <w:r>
        <w:rPr>
          <w:sz w:val="26"/>
          <w:szCs w:val="26"/>
        </w:rPr>
        <w:t xml:space="preserve">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6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46"/>
            <w:sz w:val="26"/>
            <w:szCs w:val="26"/>
            <w:lang w:val="en-US"/>
          </w:rPr>
          <w:t xml:space="preserve">dgi</w:t>
        </w:r>
        <w:r>
          <w:rPr>
            <w:rStyle w:val="946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</w:t>
      </w:r>
      <w:r>
        <w:rPr>
          <w:sz w:val="26"/>
          <w:szCs w:val="26"/>
        </w:rPr>
        <w:t xml:space="preserve">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21.11.2025 № 3612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54:19:093502:10371».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Оператор электронной площадки:</w:t>
      </w:r>
      <w:r>
        <w:rPr>
          <w:rStyle w:val="938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</w:t>
      </w:r>
      <w:r>
        <w:rPr>
          <w:rStyle w:val="938"/>
          <w:b w:val="0"/>
          <w:sz w:val="26"/>
          <w:szCs w:val="26"/>
        </w:rPr>
        <w:t xml:space="preserve">осква, набережная Тараса Шевченко, дом 23А,</w:t>
      </w:r>
      <w:r>
        <w:t xml:space="preserve"> </w:t>
      </w:r>
      <w:r>
        <w:rPr>
          <w:rStyle w:val="938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6"/>
            <w:sz w:val="26"/>
            <w:szCs w:val="26"/>
          </w:rPr>
          <w:t xml:space="preserve">www.rts-tender.ru</w:t>
        </w:r>
      </w:hyperlink>
      <w:r>
        <w:rPr>
          <w:rStyle w:val="938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46"/>
            <w:sz w:val="26"/>
            <w:szCs w:val="26"/>
          </w:rPr>
          <w:t xml:space="preserve">iSupport@rts-tender.ru</w:t>
        </w:r>
      </w:hyperlink>
      <w:r>
        <w:rPr>
          <w:rStyle w:val="938"/>
          <w:b w:val="0"/>
          <w:sz w:val="26"/>
          <w:szCs w:val="26"/>
        </w:rPr>
        <w:t xml:space="preserve">, телефон: +7 (499) 653-55-00.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Форма торгов: </w:t>
      </w:r>
      <w:r>
        <w:rPr>
          <w:rStyle w:val="938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22 июля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</w:t>
      </w:r>
      <w:r>
        <w:rPr>
          <w:sz w:val="26"/>
          <w:szCs w:val="26"/>
        </w:rPr>
        <w:t xml:space="preserve">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8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договора арен</w:t>
      </w:r>
      <w:r>
        <w:rPr>
          <w:sz w:val="26"/>
          <w:szCs w:val="26"/>
        </w:rPr>
        <w:t xml:space="preserve">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8"/>
          <w:sz w:val="26"/>
          <w:szCs w:val="26"/>
        </w:rPr>
      </w:pPr>
      <w:r>
        <w:rPr>
          <w:rStyle w:val="938"/>
          <w:sz w:val="26"/>
          <w:szCs w:val="26"/>
        </w:rPr>
        <w:t xml:space="preserve">Лот № 1</w:t>
      </w:r>
      <w:r>
        <w:rPr>
          <w:rStyle w:val="938"/>
          <w:sz w:val="26"/>
          <w:szCs w:val="26"/>
        </w:rPr>
      </w:r>
      <w:r>
        <w:rPr>
          <w:rStyle w:val="938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54:19:093502:10371, площадью 1200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   Российская Федерация, Новосибирская область, Новосибирский район, Кубовинский сельсовет</w:t>
      </w:r>
      <w:r>
        <w:rPr>
          <w:sz w:val="26"/>
          <w:szCs w:val="26"/>
        </w:rPr>
        <w:t xml:space="preserve">, категория земель: земли сельскохозяйственного назначения, разрешенное использование: ведение садоводства (13.2).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bCs w:val="0"/>
          <w:sz w:val="26"/>
          <w:szCs w:val="26"/>
          <w:highlight w:val="none"/>
        </w:rPr>
      </w:pPr>
      <w:r>
        <w:rPr>
          <w:rStyle w:val="938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38"/>
          <w:b w:val="0"/>
          <w:bCs w:val="0"/>
          <w:sz w:val="26"/>
          <w:szCs w:val="26"/>
        </w:rPr>
        <w:t xml:space="preserve"> </w:t>
      </w:r>
      <w:r>
        <w:rPr>
          <w:rStyle w:val="938"/>
          <w:b w:val="0"/>
          <w:bCs w:val="0"/>
          <w:sz w:val="26"/>
          <w:szCs w:val="26"/>
          <w:highlight w:val="none"/>
        </w:rPr>
      </w:r>
      <w:r>
        <w:rPr>
          <w:rStyle w:val="938"/>
          <w:b w:val="0"/>
          <w:bCs w:val="0"/>
          <w:sz w:val="26"/>
          <w:szCs w:val="26"/>
          <w:highlight w:val="none"/>
        </w:rPr>
      </w:r>
    </w:p>
    <w:p>
      <w:pPr>
        <w:pStyle w:val="943"/>
        <w:numPr>
          <w:ilvl w:val="0"/>
          <w:numId w:val="26"/>
        </w:numPr>
        <w:ind w:left="0" w:right="0" w:firstLine="567"/>
        <w:jc w:val="both"/>
        <w:rPr>
          <w:rStyle w:val="938"/>
          <w:b w:val="0"/>
          <w:bCs w:val="0"/>
          <w:sz w:val="26"/>
          <w:szCs w:val="26"/>
        </w:rPr>
      </w:pP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Земельный участок частично расположен в охранной зоне ЛЭП 0.4 кВ. Площадь земельного участка, покрываемая зоной с особыми условиями использования территории, составляет 7 кв.м.;</w:t>
      </w:r>
      <w:r>
        <w:rPr>
          <w:rStyle w:val="938"/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</w:p>
    <w:p>
      <w:pPr>
        <w:pStyle w:val="943"/>
        <w:numPr>
          <w:ilvl w:val="0"/>
          <w:numId w:val="26"/>
        </w:numPr>
        <w:ind w:left="0" w:right="0" w:firstLine="567"/>
        <w:jc w:val="both"/>
        <w:rPr>
          <w:rStyle w:val="938"/>
          <w:b w:val="0"/>
          <w:bCs w:val="0"/>
          <w:sz w:val="26"/>
          <w:szCs w:val="26"/>
        </w:rPr>
      </w:pP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В соответствии со сведениями генерального плана Кубовинского сельсовета Новосибирского района Новосибирской области, а также сведениям 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Геоинформационного портала (сайт https://nspd.gov.ru/)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, земельный участок частично расположен в границах береговой полосы р. Малый Барлак. Согласно пп.пп 6, 8 ст. 6 Водного Кодекса Российской Федерации п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олоса земли вдоль береговой линии (границы водного объекта) водного объекта общего пользования (береговая полоса) предназначается для общего пользования, соответственно к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лавучих средств.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 На основании п. 8 ст. 27 Земельного Кодекса Российской Федерации (далее ЗК РФ) 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 </w:t>
      </w:r>
      <w:r>
        <w:rPr>
          <w:rStyle w:val="938"/>
          <w:b/>
          <w:bCs/>
          <w:i/>
          <w:iCs/>
          <w:sz w:val="26"/>
          <w:szCs w:val="26"/>
          <w:highlight w:val="none"/>
          <w:lang w:val="ru-RU"/>
        </w:rPr>
        <w:t xml:space="preserve">запрещается приватизация земельных участков</w:t>
      </w:r>
      <w:r>
        <w:rPr>
          <w:rStyle w:val="938"/>
          <w:b/>
          <w:bCs/>
          <w:i/>
          <w:iCs/>
          <w:sz w:val="26"/>
          <w:szCs w:val="26"/>
          <w:highlight w:val="none"/>
          <w:lang w:val="ru-RU"/>
        </w:rPr>
        <w:t xml:space="preserve"> в пределах береговой полосы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. Согласно п. 4 ст. 39.8 ЗК РФ д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пользования, заключается при условии обеспечения свободного доступа граждан к водному объек</w:t>
      </w:r>
      <w:r>
        <w:rPr>
          <w:rStyle w:val="938"/>
          <w:b w:val="0"/>
          <w:bCs w:val="0"/>
          <w:sz w:val="26"/>
          <w:szCs w:val="26"/>
          <w:highlight w:val="none"/>
          <w:lang w:val="ru-RU"/>
        </w:rPr>
        <w:t xml:space="preserve">ту общего пользования и его береговой полосе.</w:t>
      </w:r>
      <w:r>
        <w:rPr>
          <w:rStyle w:val="938"/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b w:val="0"/>
          <w:bCs w:val="0"/>
          <w:sz w:val="26"/>
          <w:szCs w:val="26"/>
        </w:rPr>
        <w:t xml:space="preserve">отсутствуют.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rStyle w:val="938"/>
          <w:sz w:val="26"/>
          <w:szCs w:val="26"/>
        </w:rPr>
        <w:t xml:space="preserve">Требование к участникам аукциона: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В соответствии с </w:t>
      </w:r>
      <w:r>
        <w:rPr>
          <w:rStyle w:val="938"/>
          <w:b w:val="0"/>
          <w:sz w:val="26"/>
          <w:szCs w:val="26"/>
        </w:rPr>
        <w:t xml:space="preserve">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sz w:val="26"/>
          <w:szCs w:val="26"/>
        </w:rPr>
      </w:pPr>
      <w:r>
        <w:rPr>
          <w:rStyle w:val="938"/>
          <w:sz w:val="26"/>
          <w:szCs w:val="26"/>
        </w:rPr>
        <w:t xml:space="preserve">Получение электронной подпи</w:t>
      </w:r>
      <w:r>
        <w:rPr>
          <w:rStyle w:val="938"/>
          <w:sz w:val="26"/>
          <w:szCs w:val="26"/>
        </w:rPr>
        <w:t xml:space="preserve">си и регистрация (аккредитация) на электронной площадке:</w:t>
      </w:r>
      <w:r>
        <w:rPr>
          <w:rStyle w:val="938"/>
          <w:sz w:val="26"/>
          <w:szCs w:val="26"/>
        </w:rPr>
      </w:r>
      <w:r>
        <w:rPr>
          <w:rStyle w:val="938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– ГИС Торги). Рег</w:t>
      </w:r>
      <w:r>
        <w:rPr>
          <w:rStyle w:val="938"/>
          <w:b w:val="0"/>
          <w:sz w:val="26"/>
          <w:szCs w:val="26"/>
        </w:rPr>
        <w:t xml:space="preserve">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электронных площадка</w:t>
      </w:r>
      <w:r>
        <w:rPr>
          <w:rStyle w:val="938"/>
          <w:b w:val="0"/>
          <w:sz w:val="26"/>
          <w:szCs w:val="26"/>
        </w:rPr>
        <w:t xml:space="preserve">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электронные площадки по</w:t>
      </w:r>
      <w:r>
        <w:rPr>
          <w:rStyle w:val="938"/>
          <w:b w:val="0"/>
          <w:sz w:val="26"/>
          <w:szCs w:val="26"/>
        </w:rPr>
        <w:t xml:space="preserve">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</w:t>
      </w:r>
      <w:r>
        <w:rPr>
          <w:rStyle w:val="938"/>
          <w:b w:val="0"/>
          <w:sz w:val="26"/>
          <w:szCs w:val="26"/>
        </w:rPr>
        <w:t xml:space="preserve">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 Федеральным зако</w:t>
      </w:r>
      <w:r>
        <w:rPr>
          <w:rStyle w:val="938"/>
          <w:b w:val="0"/>
          <w:sz w:val="26"/>
          <w:szCs w:val="26"/>
        </w:rPr>
        <w:t xml:space="preserve">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Регистрации в ГИС Торги подлежат Претенденты, ранее не зарег</w:t>
      </w:r>
      <w:r>
        <w:rPr>
          <w:rStyle w:val="938"/>
          <w:b w:val="0"/>
          <w:sz w:val="26"/>
          <w:szCs w:val="26"/>
        </w:rPr>
        <w:t xml:space="preserve">истрированные</w:t>
      </w:r>
      <w:r>
        <w:rPr>
          <w:rStyle w:val="938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</w:t>
      </w:r>
      <w:r>
        <w:rPr>
          <w:rStyle w:val="938"/>
          <w:b w:val="0"/>
          <w:sz w:val="26"/>
          <w:szCs w:val="26"/>
        </w:rPr>
        <w:t xml:space="preserve"> «Информационные материалы».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</w:t>
      </w:r>
      <w:r>
        <w:rPr>
          <w:rStyle w:val="938"/>
          <w:b w:val="0"/>
          <w:sz w:val="26"/>
          <w:szCs w:val="26"/>
        </w:rPr>
        <w:t xml:space="preserve">определяющий правила функционирования электронной площадки</w:t>
      </w:r>
      <w:r>
        <w:t xml:space="preserve"> </w:t>
      </w:r>
      <w:r>
        <w:rPr>
          <w:rStyle w:val="938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8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6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6"/>
          <w:bCs/>
          <w:sz w:val="26"/>
          <w:szCs w:val="26"/>
        </w:rPr>
        <w:t xml:space="preserve"> </w:t>
      </w:r>
      <w:r>
        <w:rPr>
          <w:rStyle w:val="938"/>
          <w:b w:val="0"/>
          <w:sz w:val="26"/>
          <w:szCs w:val="26"/>
        </w:rPr>
        <w:t xml:space="preserve">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</w:t>
      </w:r>
      <w:r>
        <w:rPr>
          <w:b/>
          <w:sz w:val="26"/>
          <w:szCs w:val="26"/>
        </w:rPr>
        <w:t xml:space="preserve"> кодекса Российской Федерации заключается договор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</w:t>
      </w:r>
      <w:r>
        <w:rPr>
          <w:sz w:val="26"/>
          <w:szCs w:val="26"/>
        </w:rPr>
        <w:t xml:space="preserve">ечении на электронной площадке «РТС-тендер» имущественные торги.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46"/>
            <w:sz w:val="26"/>
            <w:szCs w:val="26"/>
          </w:rPr>
          <w:t xml:space="preserve">https://www.rts-tender.ru/tariffs/platform-property-sales-tariffs</w:t>
        </w:r>
      </w:hyperlink>
      <w:r>
        <w:rPr>
          <w:rStyle w:val="946"/>
          <w:sz w:val="26"/>
          <w:szCs w:val="26"/>
        </w:rPr>
        <w:t xml:space="preserve"> </w:t>
      </w:r>
      <w:r>
        <w:rPr>
          <w:sz w:val="26"/>
          <w:szCs w:val="26"/>
        </w:rPr>
        <w:t xml:space="preserve">. Размер тарифа – 1% от начальной цены предмета аукциона и не более 2 000 рублей, в том числе НДС.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Денежные средства в размере стоимости оказания услуг блокируютс</w:t>
      </w:r>
      <w:r>
        <w:rPr>
          <w:sz w:val="26"/>
          <w:szCs w:val="26"/>
        </w:rPr>
        <w:t xml:space="preserve">я на аналитическом счете Заявителя в момент подачи заявки на участие в аукционе, при условии наличия на нем соответствующей суммы свободных денежных средств.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bCs w:val="0"/>
        </w:rPr>
      </w:pPr>
      <w:r>
        <w:rPr>
          <w:sz w:val="26"/>
          <w:szCs w:val="26"/>
        </w:rPr>
        <w:t xml:space="preserve">Списание средств гарантийного обеспечения оплаты оказания услуг осуществляется с аналитического счета того участника, в отношении которого применимо одно из следующих условий: если с участником, который определен как лицо, с которым может быть заключен дог</w:t>
      </w:r>
      <w:r>
        <w:rPr>
          <w:sz w:val="26"/>
          <w:szCs w:val="26"/>
        </w:rPr>
        <w:t xml:space="preserve">овор (победитель), заключен договор или участник признан уклонившимся от заключения договора – в течение одного рабочего дня с момента заключения с таким участником договора на электронной площадке или опубликования на электронной площадке сведений о заклю</w:t>
      </w:r>
      <w:r>
        <w:rPr>
          <w:sz w:val="26"/>
          <w:szCs w:val="26"/>
        </w:rPr>
        <w:t xml:space="preserve">чении договора с таким участником или опубликования на электронной площадке акта (протокола) о признании такого участника уклонившимся от заключения договора.</w:t>
      </w:r>
      <w:r>
        <w:rPr>
          <w:rStyle w:val="938"/>
          <w:b w:val="0"/>
          <w:bCs w:val="0"/>
        </w:rPr>
      </w:r>
      <w:r>
        <w:rPr>
          <w:rStyle w:val="938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sz w:val="26"/>
          <w:szCs w:val="26"/>
        </w:rPr>
      </w:pPr>
      <w:r>
        <w:rPr>
          <w:rStyle w:val="938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8"/>
          <w:sz w:val="26"/>
          <w:szCs w:val="26"/>
        </w:rPr>
        <w:t xml:space="preserve">в электронной форме:</w:t>
      </w:r>
      <w:r>
        <w:rPr>
          <w:rStyle w:val="938"/>
          <w:sz w:val="26"/>
          <w:szCs w:val="26"/>
        </w:rPr>
      </w:r>
      <w:r>
        <w:rPr>
          <w:rStyle w:val="938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Для заключения договора в электронной форме покупатель/а</w:t>
      </w:r>
      <w:r>
        <w:rPr>
          <w:rStyle w:val="938"/>
          <w:b w:val="0"/>
          <w:sz w:val="26"/>
          <w:szCs w:val="26"/>
        </w:rPr>
        <w:t xml:space="preserve">рендатор должен быть зарегистрирован в ГИС Торги в качестве участника торгов.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8"/>
          <w:sz w:val="26"/>
          <w:szCs w:val="26"/>
        </w:rPr>
        <w:t xml:space="preserve">Начальная цена предмета аукциона: </w:t>
      </w:r>
      <w:r>
        <w:rPr>
          <w:rStyle w:val="938"/>
          <w:b w:val="0"/>
          <w:sz w:val="26"/>
          <w:szCs w:val="26"/>
        </w:rPr>
        <w:t xml:space="preserve">127 000 (сто двадцать семь тысяч)</w:t>
      </w:r>
      <w:r>
        <w:rPr>
          <w:rStyle w:val="938"/>
          <w:b w:val="0"/>
          <w:sz w:val="26"/>
          <w:szCs w:val="26"/>
        </w:rPr>
        <w:t xml:space="preserve">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6 350 (шесть тысяч триста пятьдесят)</w:t>
      </w:r>
      <w:r>
        <w:rPr>
          <w:sz w:val="26"/>
          <w:szCs w:val="26"/>
        </w:rPr>
        <w:t xml:space="preserve">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Кубовинского</w:t>
      </w:r>
      <w:r>
        <w:rPr>
          <w:sz w:val="26"/>
          <w:szCs w:val="26"/>
        </w:rPr>
        <w:t xml:space="preserve"> сельсовета Новосибирс</w:t>
      </w:r>
      <w:r>
        <w:rPr>
          <w:sz w:val="26"/>
          <w:szCs w:val="26"/>
        </w:rPr>
        <w:t xml:space="preserve">кого района Новосибирской области утвержденными приказом министерства строительства Новосибирской области 14.04.2021 № 232 (ред. от 19.12.2025):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61"/>
            </w:pPr>
            <w:r>
              <w:rPr>
                <w:color w:val="auto"/>
              </w:rPr>
              <w:t xml:space="preserve">Ведение садоводства (13.2)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</w:t>
      </w:r>
      <w:r>
        <w:rPr>
          <w:b/>
          <w:bCs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38"/>
          <w:b w:val="0"/>
          <w:sz w:val="26"/>
          <w:szCs w:val="26"/>
        </w:rPr>
        <w:t xml:space="preserve">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Место приема заяв</w:t>
      </w:r>
      <w:r>
        <w:rPr>
          <w:rStyle w:val="938"/>
          <w:sz w:val="26"/>
          <w:szCs w:val="26"/>
        </w:rPr>
        <w:t xml:space="preserve">ок на участие в аукционе</w:t>
      </w:r>
      <w:r>
        <w:rPr>
          <w:rStyle w:val="938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8"/>
          <w:b w:val="0"/>
          <w:sz w:val="26"/>
          <w:szCs w:val="26"/>
        </w:rPr>
        <w:t xml:space="preserve">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Дата и время начала приема заявок:</w:t>
      </w:r>
      <w:r>
        <w:rPr>
          <w:rStyle w:val="938"/>
          <w:b w:val="0"/>
          <w:sz w:val="26"/>
          <w:szCs w:val="26"/>
        </w:rPr>
        <w:t xml:space="preserve"> 30 июня 2026</w:t>
      </w:r>
      <w:r>
        <w:rPr>
          <w:rStyle w:val="938"/>
          <w:b w:val="0"/>
          <w:sz w:val="26"/>
          <w:szCs w:val="26"/>
        </w:rPr>
        <w:t xml:space="preserve"> года в 00-00 по местному времени. Прием заявок осуществляется круглосуточно.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Дата и время окончания приема заявок:</w:t>
      </w:r>
      <w:r>
        <w:rPr>
          <w:rStyle w:val="938"/>
          <w:b w:val="0"/>
          <w:sz w:val="26"/>
          <w:szCs w:val="26"/>
        </w:rPr>
        <w:t xml:space="preserve"> 16 июля 2026 года до 23-00</w:t>
      </w:r>
      <w:r>
        <w:rPr>
          <w:rStyle w:val="938"/>
          <w:b w:val="0"/>
          <w:sz w:val="26"/>
          <w:szCs w:val="26"/>
        </w:rPr>
        <w:t xml:space="preserve"> по местному времени.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8"/>
          <w:sz w:val="26"/>
          <w:szCs w:val="26"/>
        </w:rPr>
        <w:t xml:space="preserve">определения участников аукциона:</w:t>
      </w:r>
      <w:r>
        <w:rPr>
          <w:rStyle w:val="938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20 июля 2026 года.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</w:t>
      </w:r>
      <w:r>
        <w:rPr>
          <w:sz w:val="26"/>
          <w:szCs w:val="26"/>
        </w:rPr>
        <w:t xml:space="preserve">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</w:t>
      </w:r>
      <w:r>
        <w:rPr>
          <w:sz w:val="26"/>
          <w:szCs w:val="26"/>
        </w:rPr>
        <w:t xml:space="preserve">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8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8"/>
          <w:b w:val="0"/>
          <w:sz w:val="26"/>
          <w:szCs w:val="26"/>
        </w:rPr>
        <w:t xml:space="preserve">22 июля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8"/>
          <w:b w:val="0"/>
          <w:sz w:val="26"/>
          <w:szCs w:val="26"/>
        </w:rPr>
        <w:t xml:space="preserve">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Дата подведения итогов аукциона:</w:t>
      </w:r>
      <w:r>
        <w:rPr>
          <w:rStyle w:val="938"/>
          <w:b w:val="0"/>
          <w:sz w:val="26"/>
          <w:szCs w:val="26"/>
        </w:rPr>
        <w:t xml:space="preserve"> 22 июля 2026 года.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8"/>
          <w:sz w:val="26"/>
          <w:szCs w:val="26"/>
        </w:rPr>
        <w:outlineLvl w:val="0"/>
      </w:pPr>
      <w:r>
        <w:rPr>
          <w:rStyle w:val="938"/>
          <w:sz w:val="26"/>
          <w:szCs w:val="26"/>
        </w:rPr>
        <w:t xml:space="preserve">Перечень документов,</w:t>
      </w:r>
      <w:r>
        <w:rPr>
          <w:rStyle w:val="938"/>
          <w:sz w:val="26"/>
          <w:szCs w:val="26"/>
        </w:rPr>
        <w:t xml:space="preserve"> представляемых для участия в аукционе: </w:t>
      </w:r>
      <w:r>
        <w:rPr>
          <w:rStyle w:val="938"/>
          <w:sz w:val="26"/>
          <w:szCs w:val="26"/>
        </w:rPr>
      </w:r>
      <w:r>
        <w:rPr>
          <w:rStyle w:val="938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8"/>
          <w:b w:val="0"/>
          <w:bCs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8"/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8"/>
          <w:b w:val="0"/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8"/>
          <w:b w:val="0"/>
          <w:sz w:val="26"/>
          <w:szCs w:val="26"/>
        </w:rPr>
      </w:pPr>
      <w:r>
        <w:rPr>
          <w:rStyle w:val="938"/>
          <w:sz w:val="26"/>
          <w:szCs w:val="26"/>
        </w:rPr>
        <w:t xml:space="preserve">Размер задатка: </w:t>
      </w:r>
      <w:r>
        <w:rPr>
          <w:rStyle w:val="938"/>
          <w:b w:val="0"/>
          <w:sz w:val="26"/>
          <w:szCs w:val="26"/>
        </w:rPr>
        <w:t xml:space="preserve">127 000 (сто двадцать семь тысяч)</w:t>
      </w:r>
      <w:r>
        <w:rPr>
          <w:rStyle w:val="938"/>
          <w:b w:val="0"/>
          <w:sz w:val="26"/>
          <w:szCs w:val="26"/>
        </w:rPr>
        <w:t xml:space="preserve"> рублей 00 копеек.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38"/>
          <w:b w:val="0"/>
          <w:sz w:val="26"/>
          <w:szCs w:val="26"/>
        </w:rPr>
        <w:t xml:space="preserve">МФиНП</w:t>
      </w:r>
      <w:r>
        <w:rPr>
          <w:rStyle w:val="938"/>
          <w:b w:val="0"/>
          <w:sz w:val="26"/>
          <w:szCs w:val="26"/>
        </w:rPr>
        <w:t xml:space="preserve"> НСО (ДИиЗО НСО, л/с190010013), ИНН </w:t>
      </w:r>
      <w:r>
        <w:rPr>
          <w:rStyle w:val="938"/>
          <w:b w:val="0"/>
          <w:sz w:val="26"/>
          <w:szCs w:val="26"/>
        </w:rPr>
        <w:t xml:space="preserve">5406214965 / КПП 540601001, ОКЦ №1 Сибирское ГУ Банка России//УФК по Новосибирской области </w:t>
      </w:r>
      <w:r>
        <w:rPr>
          <w:rStyle w:val="938"/>
          <w:b w:val="0"/>
          <w:sz w:val="26"/>
          <w:szCs w:val="26"/>
        </w:rPr>
        <w:t xml:space="preserve">г.Новосибирск</w:t>
      </w:r>
      <w:r>
        <w:rPr>
          <w:rStyle w:val="938"/>
          <w:b w:val="0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Назначение платежа: задаток для участия в аукцио</w:t>
      </w:r>
      <w:r>
        <w:rPr>
          <w:rStyle w:val="938"/>
          <w:b w:val="0"/>
          <w:sz w:val="26"/>
          <w:szCs w:val="26"/>
        </w:rPr>
        <w:t xml:space="preserve">не ДИиЗО НСО, земельный участок с кадастровым номером 54:19:093502:10371.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</w:t>
      </w:r>
      <w:r>
        <w:rPr>
          <w:rStyle w:val="938"/>
          <w:b w:val="0"/>
          <w:sz w:val="26"/>
          <w:szCs w:val="26"/>
        </w:rPr>
        <w:t xml:space="preserve">ельного кодекса Российской Федерации.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в случае, если заявитель отозвал заявку на участие в аукционе до дня окончания срока при</w:t>
      </w:r>
      <w:r>
        <w:rPr>
          <w:rStyle w:val="938"/>
          <w:b w:val="0"/>
          <w:sz w:val="26"/>
          <w:szCs w:val="26"/>
        </w:rPr>
        <w:t xml:space="preserve">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в случае, если заявитель не допущен к</w:t>
      </w:r>
      <w:r>
        <w:rPr>
          <w:rStyle w:val="938"/>
          <w:b w:val="0"/>
          <w:sz w:val="26"/>
          <w:szCs w:val="26"/>
        </w:rPr>
        <w:t xml:space="preserve">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</w:t>
      </w:r>
      <w:r>
        <w:rPr>
          <w:rStyle w:val="938"/>
          <w:b w:val="0"/>
          <w:sz w:val="26"/>
          <w:szCs w:val="26"/>
        </w:rPr>
        <w:t xml:space="preserve">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sz w:val="26"/>
          <w:szCs w:val="26"/>
        </w:rPr>
        <w:outlineLvl w:val="0"/>
      </w:pPr>
      <w:r>
        <w:rPr>
          <w:rStyle w:val="938"/>
          <w:b w:val="0"/>
          <w:sz w:val="26"/>
          <w:szCs w:val="26"/>
        </w:rPr>
        <w:t xml:space="preserve">в слу</w:t>
      </w:r>
      <w:r>
        <w:rPr>
          <w:rStyle w:val="938"/>
          <w:b w:val="0"/>
          <w:sz w:val="26"/>
          <w:szCs w:val="26"/>
        </w:rPr>
        <w:t xml:space="preserve">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8"/>
          <w:b w:val="0"/>
          <w:sz w:val="26"/>
          <w:szCs w:val="26"/>
        </w:rPr>
      </w:r>
      <w:r>
        <w:rPr>
          <w:rStyle w:val="938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</w:t>
      </w:r>
      <w:r>
        <w:rPr>
          <w:sz w:val="26"/>
          <w:szCs w:val="26"/>
        </w:rPr>
        <w:t xml:space="preserve">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</w:t>
      </w:r>
      <w:r>
        <w:rPr>
          <w:sz w:val="26"/>
          <w:szCs w:val="26"/>
        </w:rPr>
        <w:t xml:space="preserve">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8"/>
          <w:sz w:val="26"/>
          <w:szCs w:val="26"/>
        </w:rPr>
      </w:pPr>
      <w:r>
        <w:rPr>
          <w:rStyle w:val="938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8"/>
          <w:sz w:val="26"/>
          <w:szCs w:val="26"/>
        </w:rPr>
        <w:t xml:space="preserve">о существенных условиях дог</w:t>
      </w:r>
      <w:r>
        <w:rPr>
          <w:rStyle w:val="938"/>
          <w:sz w:val="26"/>
          <w:szCs w:val="26"/>
        </w:rPr>
        <w:t xml:space="preserve">овора аренды земельного участка: </w:t>
      </w:r>
      <w:r>
        <w:rPr>
          <w:rStyle w:val="938"/>
          <w:sz w:val="26"/>
          <w:szCs w:val="26"/>
        </w:rPr>
      </w:r>
      <w:r>
        <w:rPr>
          <w:rStyle w:val="938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1</w:t>
      </w:r>
      <w:r>
        <w:rPr>
          <w:b/>
          <w:i/>
          <w:sz w:val="26"/>
          <w:szCs w:val="26"/>
        </w:rPr>
        <w:t xml:space="preserve">0 (десять)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8"/>
          <w:b w:val="0"/>
          <w:bCs w:val="0"/>
        </w:rPr>
      </w:pPr>
      <w:r>
        <w:rPr>
          <w:rStyle w:val="938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8"/>
          <w:b w:val="0"/>
          <w:bCs w:val="0"/>
        </w:rPr>
      </w:r>
      <w:r>
        <w:rPr>
          <w:rStyle w:val="938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</w:t>
      </w:r>
      <w:r>
        <w:rPr>
          <w:sz w:val="26"/>
          <w:szCs w:val="26"/>
        </w:rPr>
        <w:t xml:space="preserve">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6"/>
          <w:szCs w:val="26"/>
        </w:rPr>
        <w:t xml:space="preserve">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</w:t>
      </w:r>
      <w:r>
        <w:rPr>
          <w:sz w:val="26"/>
          <w:szCs w:val="26"/>
        </w:rPr>
        <w:t xml:space="preserve">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</w:t>
      </w:r>
      <w:r>
        <w:rPr>
          <w:bCs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sz w:val="26"/>
          <w:szCs w:val="26"/>
        </w:rPr>
        <w:t xml:space="preserve">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</w:t>
      </w:r>
      <w:r>
        <w:rPr>
          <w:bCs/>
          <w:sz w:val="26"/>
          <w:szCs w:val="26"/>
        </w:rPr>
        <w:t xml:space="preserve">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</w:t>
      </w:r>
      <w:r>
        <w:rPr>
          <w:sz w:val="26"/>
          <w:szCs w:val="26"/>
        </w:rPr>
        <w:t xml:space="preserve">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46"/>
            <w:sz w:val="26"/>
            <w:szCs w:val="26"/>
            <w:lang w:val="en-US"/>
          </w:rPr>
          <w:t xml:space="preserve">www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torgi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gov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</w:t>
      </w:r>
      <w:r>
        <w:rPr>
          <w:sz w:val="26"/>
          <w:szCs w:val="26"/>
        </w:rPr>
        <w:t xml:space="preserve">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8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8"/>
          <w:b w:val="0"/>
          <w:sz w:val="26"/>
          <w:szCs w:val="26"/>
        </w:rPr>
        <w:t xml:space="preserve"> п</w:t>
      </w:r>
      <w:r>
        <w:rPr>
          <w:rStyle w:val="938"/>
          <w:b w:val="0"/>
          <w:sz w:val="26"/>
          <w:szCs w:val="26"/>
        </w:rPr>
        <w:t xml:space="preserve">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46"/>
            <w:sz w:val="26"/>
            <w:szCs w:val="26"/>
            <w:lang w:val="en-US"/>
          </w:rPr>
          <w:t xml:space="preserve">www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torgi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gov</w:t>
        </w:r>
        <w:r>
          <w:rPr>
            <w:rStyle w:val="946"/>
            <w:sz w:val="26"/>
            <w:szCs w:val="26"/>
          </w:rPr>
          <w:t xml:space="preserve">.</w:t>
        </w:r>
        <w:r>
          <w:rPr>
            <w:rStyle w:val="946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</w:t>
      </w:r>
      <w:r>
        <w:rPr>
          <w:sz w:val="26"/>
          <w:szCs w:val="26"/>
        </w:rPr>
        <w:t xml:space="preserve">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проект договора аренды земельного участка.</w:t>
      </w:r>
      <w:r>
        <w:rPr>
          <w:rStyle w:val="938"/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8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  <w:r>
        <w:rPr>
          <w:rStyle w:val="938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  <w:p>
    <w:pPr>
      <w:pStyle w:val="941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rPr>
        <w:rStyle w:val="942"/>
      </w:rPr>
      <w:framePr w:wrap="around" w:vAnchor="text" w:hAnchor="margin" w:xAlign="right" w:y="1"/>
    </w:pPr>
    <w:r>
      <w:rPr>
        <w:rStyle w:val="942"/>
      </w:rPr>
      <w:fldChar w:fldCharType="begin"/>
    </w:r>
    <w:r>
      <w:rPr>
        <w:rStyle w:val="942"/>
      </w:rPr>
      <w:instrText xml:space="preserve">PAGE  </w:instrText>
    </w:r>
    <w:r>
      <w:rPr>
        <w:rStyle w:val="942"/>
      </w:rPr>
      <w:fldChar w:fldCharType="end"/>
    </w:r>
    <w:r>
      <w:rPr>
        <w:rStyle w:val="942"/>
      </w:rPr>
    </w:r>
    <w:r>
      <w:rPr>
        <w:rStyle w:val="942"/>
      </w:rPr>
    </w:r>
  </w:p>
  <w:p>
    <w:pPr>
      <w:pStyle w:val="941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0"/>
  </w:num>
  <w:num w:numId="15">
    <w:abstractNumId w:val="4"/>
  </w:num>
  <w:num w:numId="16">
    <w:abstractNumId w:val="7"/>
  </w:num>
  <w:num w:numId="17">
    <w:abstractNumId w:val="10"/>
  </w:num>
  <w:num w:numId="18">
    <w:abstractNumId w:val="4"/>
  </w:num>
  <w:num w:numId="19">
    <w:abstractNumId w:val="7"/>
  </w:num>
  <w:num w:numId="20">
    <w:abstractNumId w:val="10"/>
  </w:num>
  <w:num w:numId="21">
    <w:abstractNumId w:val="4"/>
  </w:num>
  <w:num w:numId="22">
    <w:abstractNumId w:val="8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Heading 1 Char"/>
    <w:basedOn w:val="773"/>
    <w:link w:val="764"/>
    <w:uiPriority w:val="9"/>
    <w:rPr>
      <w:rFonts w:ascii="Arial" w:hAnsi="Arial" w:eastAsia="Arial" w:cs="Arial"/>
      <w:sz w:val="40"/>
      <w:szCs w:val="40"/>
    </w:rPr>
  </w:style>
  <w:style w:type="character" w:styleId="750">
    <w:name w:val="Heading 2 Char"/>
    <w:basedOn w:val="773"/>
    <w:link w:val="765"/>
    <w:uiPriority w:val="9"/>
    <w:rPr>
      <w:rFonts w:ascii="Arial" w:hAnsi="Arial" w:eastAsia="Arial" w:cs="Arial"/>
      <w:sz w:val="34"/>
    </w:rPr>
  </w:style>
  <w:style w:type="character" w:styleId="751">
    <w:name w:val="Heading 3 Char"/>
    <w:basedOn w:val="773"/>
    <w:link w:val="766"/>
    <w:uiPriority w:val="9"/>
    <w:rPr>
      <w:rFonts w:ascii="Arial" w:hAnsi="Arial" w:eastAsia="Arial" w:cs="Arial"/>
      <w:sz w:val="30"/>
      <w:szCs w:val="30"/>
    </w:rPr>
  </w:style>
  <w:style w:type="character" w:styleId="752">
    <w:name w:val="Heading 4 Char"/>
    <w:basedOn w:val="773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53">
    <w:name w:val="Heading 5 Char"/>
    <w:basedOn w:val="773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54">
    <w:name w:val="Heading 6 Char"/>
    <w:basedOn w:val="773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55">
    <w:name w:val="Heading 7 Char"/>
    <w:basedOn w:val="77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>
    <w:name w:val="Heading 8 Char"/>
    <w:basedOn w:val="77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57">
    <w:name w:val="Heading 9 Char"/>
    <w:basedOn w:val="773"/>
    <w:link w:val="772"/>
    <w:uiPriority w:val="9"/>
    <w:rPr>
      <w:rFonts w:ascii="Arial" w:hAnsi="Arial" w:eastAsia="Arial" w:cs="Arial"/>
      <w:i/>
      <w:iCs/>
      <w:sz w:val="21"/>
      <w:szCs w:val="21"/>
    </w:rPr>
  </w:style>
  <w:style w:type="character" w:styleId="758">
    <w:name w:val="Title Char"/>
    <w:basedOn w:val="773"/>
    <w:link w:val="786"/>
    <w:uiPriority w:val="10"/>
    <w:rPr>
      <w:sz w:val="48"/>
      <w:szCs w:val="48"/>
    </w:rPr>
  </w:style>
  <w:style w:type="character" w:styleId="759">
    <w:name w:val="Subtitle Char"/>
    <w:basedOn w:val="773"/>
    <w:link w:val="788"/>
    <w:uiPriority w:val="11"/>
    <w:rPr>
      <w:sz w:val="24"/>
      <w:szCs w:val="24"/>
    </w:rPr>
  </w:style>
  <w:style w:type="character" w:styleId="760">
    <w:name w:val="Quote Char"/>
    <w:link w:val="790"/>
    <w:uiPriority w:val="29"/>
    <w:rPr>
      <w:i/>
    </w:rPr>
  </w:style>
  <w:style w:type="character" w:styleId="761">
    <w:name w:val="Intense Quote Char"/>
    <w:link w:val="792"/>
    <w:uiPriority w:val="30"/>
    <w:rPr>
      <w:i/>
    </w:rPr>
  </w:style>
  <w:style w:type="character" w:styleId="762">
    <w:name w:val="Endnote Text Char"/>
    <w:link w:val="924"/>
    <w:uiPriority w:val="99"/>
    <w:rPr>
      <w:sz w:val="20"/>
    </w:rPr>
  </w:style>
  <w:style w:type="paragraph" w:styleId="763" w:default="1">
    <w:name w:val="Normal"/>
    <w:qFormat/>
    <w:rPr>
      <w:sz w:val="24"/>
      <w:szCs w:val="24"/>
    </w:rPr>
  </w:style>
  <w:style w:type="paragraph" w:styleId="764">
    <w:name w:val="Heading 1"/>
    <w:basedOn w:val="763"/>
    <w:next w:val="763"/>
    <w:link w:val="7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5">
    <w:name w:val="Heading 2"/>
    <w:basedOn w:val="763"/>
    <w:next w:val="763"/>
    <w:link w:val="7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6">
    <w:name w:val="Heading 3"/>
    <w:basedOn w:val="763"/>
    <w:next w:val="763"/>
    <w:link w:val="7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7">
    <w:name w:val="Heading 4"/>
    <w:basedOn w:val="763"/>
    <w:next w:val="763"/>
    <w:link w:val="7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763"/>
    <w:next w:val="763"/>
    <w:link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9">
    <w:name w:val="Heading 6"/>
    <w:basedOn w:val="763"/>
    <w:next w:val="763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763"/>
    <w:next w:val="763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763"/>
    <w:next w:val="763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763"/>
    <w:next w:val="763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default="1">
    <w:name w:val="Default Paragraph Font"/>
    <w:uiPriority w:val="1"/>
    <w:semiHidden/>
    <w:unhideWhenUsed/>
  </w:style>
  <w:style w:type="table" w:styleId="7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5" w:default="1">
    <w:name w:val="No List"/>
    <w:uiPriority w:val="99"/>
    <w:semiHidden/>
    <w:unhideWhenUsed/>
  </w:style>
  <w:style w:type="character" w:styleId="776" w:customStyle="1">
    <w:name w:val="Заголовок 1 Знак"/>
    <w:basedOn w:val="773"/>
    <w:link w:val="764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basedOn w:val="773"/>
    <w:link w:val="765"/>
    <w:uiPriority w:val="9"/>
    <w:rPr>
      <w:rFonts w:ascii="Arial" w:hAnsi="Arial" w:eastAsia="Arial" w:cs="Arial"/>
      <w:sz w:val="34"/>
    </w:rPr>
  </w:style>
  <w:style w:type="character" w:styleId="778" w:customStyle="1">
    <w:name w:val="Заголовок 3 Знак"/>
    <w:basedOn w:val="773"/>
    <w:link w:val="766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basedOn w:val="773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basedOn w:val="773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basedOn w:val="773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basedOn w:val="77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basedOn w:val="77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basedOn w:val="773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</w:style>
  <w:style w:type="paragraph" w:styleId="786">
    <w:name w:val="Title"/>
    <w:basedOn w:val="763"/>
    <w:next w:val="763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 w:customStyle="1">
    <w:name w:val="Заголовок Знак"/>
    <w:basedOn w:val="773"/>
    <w:link w:val="786"/>
    <w:uiPriority w:val="10"/>
    <w:rPr>
      <w:sz w:val="48"/>
      <w:szCs w:val="48"/>
    </w:rPr>
  </w:style>
  <w:style w:type="paragraph" w:styleId="788">
    <w:name w:val="Subtitle"/>
    <w:basedOn w:val="763"/>
    <w:next w:val="763"/>
    <w:link w:val="789"/>
    <w:uiPriority w:val="11"/>
    <w:qFormat/>
    <w:pPr>
      <w:spacing w:before="200" w:after="200"/>
    </w:pPr>
  </w:style>
  <w:style w:type="character" w:styleId="789" w:customStyle="1">
    <w:name w:val="Подзаголовок Знак"/>
    <w:basedOn w:val="773"/>
    <w:link w:val="788"/>
    <w:uiPriority w:val="11"/>
    <w:rPr>
      <w:sz w:val="24"/>
      <w:szCs w:val="24"/>
    </w:rPr>
  </w:style>
  <w:style w:type="paragraph" w:styleId="790">
    <w:name w:val="Quote"/>
    <w:basedOn w:val="763"/>
    <w:next w:val="763"/>
    <w:link w:val="791"/>
    <w:uiPriority w:val="29"/>
    <w:qFormat/>
    <w:pPr>
      <w:ind w:left="720" w:right="720"/>
    </w:pPr>
    <w:rPr>
      <w:i/>
    </w:rPr>
  </w:style>
  <w:style w:type="character" w:styleId="791" w:customStyle="1">
    <w:name w:val="Цитата 2 Знак"/>
    <w:link w:val="790"/>
    <w:uiPriority w:val="29"/>
    <w:rPr>
      <w:i/>
    </w:rPr>
  </w:style>
  <w:style w:type="paragraph" w:styleId="792">
    <w:name w:val="Intense Quote"/>
    <w:basedOn w:val="763"/>
    <w:next w:val="763"/>
    <w:link w:val="7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 w:customStyle="1">
    <w:name w:val="Выделенная цитата Знак"/>
    <w:link w:val="792"/>
    <w:uiPriority w:val="30"/>
    <w:rPr>
      <w:i/>
    </w:rPr>
  </w:style>
  <w:style w:type="character" w:styleId="794" w:customStyle="1">
    <w:name w:val="Header Char"/>
    <w:basedOn w:val="773"/>
    <w:uiPriority w:val="99"/>
  </w:style>
  <w:style w:type="character" w:styleId="795" w:customStyle="1">
    <w:name w:val="Footer Char"/>
    <w:basedOn w:val="773"/>
    <w:uiPriority w:val="99"/>
  </w:style>
  <w:style w:type="paragraph" w:styleId="796">
    <w:name w:val="Caption"/>
    <w:basedOn w:val="763"/>
    <w:next w:val="763"/>
    <w:link w:val="7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7" w:customStyle="1">
    <w:name w:val="Caption Char"/>
    <w:uiPriority w:val="99"/>
  </w:style>
  <w:style w:type="table" w:styleId="798" w:customStyle="1">
    <w:name w:val="Table Grid Light"/>
    <w:basedOn w:val="7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9">
    <w:name w:val="Plain Table 1"/>
    <w:basedOn w:val="7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2"/>
    <w:basedOn w:val="77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3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2">
    <w:name w:val="Plain Table 4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Plain Table 5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4">
    <w:name w:val="Grid Table 1 Light"/>
    <w:basedOn w:val="77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1"/>
    <w:basedOn w:val="7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2"/>
    <w:basedOn w:val="7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3"/>
    <w:basedOn w:val="7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4"/>
    <w:basedOn w:val="7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5"/>
    <w:basedOn w:val="7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6"/>
    <w:basedOn w:val="7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2"/>
    <w:basedOn w:val="7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1"/>
    <w:basedOn w:val="7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5"/>
    <w:basedOn w:val="7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6"/>
    <w:basedOn w:val="7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"/>
    <w:basedOn w:val="7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1"/>
    <w:basedOn w:val="7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5"/>
    <w:basedOn w:val="7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6"/>
    <w:basedOn w:val="7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4"/>
    <w:basedOn w:val="77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6" w:customStyle="1">
    <w:name w:val="Grid Table 4 - Accent 1"/>
    <w:basedOn w:val="77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7" w:customStyle="1">
    <w:name w:val="Grid Table 4 - Accent 2"/>
    <w:basedOn w:val="77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8" w:customStyle="1">
    <w:name w:val="Grid Table 4 - Accent 3"/>
    <w:basedOn w:val="77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9" w:customStyle="1">
    <w:name w:val="Grid Table 4 - Accent 4"/>
    <w:basedOn w:val="77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0" w:customStyle="1">
    <w:name w:val="Grid Table 4 - Accent 5"/>
    <w:basedOn w:val="77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1" w:customStyle="1">
    <w:name w:val="Grid Table 4 - Accent 6"/>
    <w:basedOn w:val="77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2">
    <w:name w:val="Grid Table 5 Dark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- Accent 1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2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3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- Accent 4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5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6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9">
    <w:name w:val="Grid Table 6 Colorful"/>
    <w:basedOn w:val="77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0" w:customStyle="1">
    <w:name w:val="Grid Table 6 Colorful - Accent 1"/>
    <w:basedOn w:val="77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1" w:customStyle="1">
    <w:name w:val="Grid Table 6 Colorful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2" w:customStyle="1">
    <w:name w:val="Grid Table 6 Colorful - Accent 3"/>
    <w:basedOn w:val="77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3" w:customStyle="1">
    <w:name w:val="Grid Table 6 Colorful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4" w:customStyle="1">
    <w:name w:val="Grid Table 6 Colorful - Accent 5"/>
    <w:basedOn w:val="77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5" w:customStyle="1">
    <w:name w:val="Grid Table 6 Colorful - Accent 6"/>
    <w:basedOn w:val="77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6">
    <w:name w:val="Grid Table 7 Colorful"/>
    <w:basedOn w:val="77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1"/>
    <w:basedOn w:val="77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5"/>
    <w:basedOn w:val="77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6"/>
    <w:basedOn w:val="77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"/>
    <w:basedOn w:val="77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1"/>
    <w:basedOn w:val="77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2"/>
    <w:basedOn w:val="77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3"/>
    <w:basedOn w:val="77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4"/>
    <w:basedOn w:val="77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5"/>
    <w:basedOn w:val="77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6"/>
    <w:basedOn w:val="77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2"/>
    <w:basedOn w:val="77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1"/>
    <w:basedOn w:val="77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2"/>
    <w:basedOn w:val="77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3"/>
    <w:basedOn w:val="77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4"/>
    <w:basedOn w:val="77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5"/>
    <w:basedOn w:val="77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6"/>
    <w:basedOn w:val="77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7">
    <w:name w:val="List Table 3"/>
    <w:basedOn w:val="7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1"/>
    <w:basedOn w:val="77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"/>
    <w:basedOn w:val="7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1"/>
    <w:basedOn w:val="77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2"/>
    <w:basedOn w:val="77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3"/>
    <w:basedOn w:val="77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4"/>
    <w:basedOn w:val="77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5"/>
    <w:basedOn w:val="77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6"/>
    <w:basedOn w:val="77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5 Dark"/>
    <w:basedOn w:val="77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1"/>
    <w:basedOn w:val="77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>
    <w:name w:val="List Table 6 Colorful"/>
    <w:basedOn w:val="77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9" w:customStyle="1">
    <w:name w:val="List Table 6 Colorful - Accent 1"/>
    <w:basedOn w:val="77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0" w:customStyle="1">
    <w:name w:val="List Table 6 Colorful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1" w:customStyle="1">
    <w:name w:val="List Table 6 Colorful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2" w:customStyle="1">
    <w:name w:val="List Table 6 Colorful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3" w:customStyle="1">
    <w:name w:val="List Table 6 Colorful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4" w:customStyle="1">
    <w:name w:val="List Table 6 Colorful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5">
    <w:name w:val="List Table 7 Colorful"/>
    <w:basedOn w:val="77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1"/>
    <w:basedOn w:val="77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2"/>
    <w:basedOn w:val="77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3"/>
    <w:basedOn w:val="77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4"/>
    <w:basedOn w:val="77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5"/>
    <w:basedOn w:val="77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6"/>
    <w:basedOn w:val="77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ned - Accent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Lined - Accent 1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4" w:customStyle="1">
    <w:name w:val="Lined - Accent 2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5" w:customStyle="1">
    <w:name w:val="Lined - Accent 3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6" w:customStyle="1">
    <w:name w:val="Lined - Accent 4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7" w:customStyle="1">
    <w:name w:val="Lined - Accent 5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8" w:customStyle="1">
    <w:name w:val="Lined - Accent 6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9" w:customStyle="1">
    <w:name w:val="Bordered &amp; Lined - Accent"/>
    <w:basedOn w:val="77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0" w:customStyle="1">
    <w:name w:val="Bordered &amp; Lined - Accent 1"/>
    <w:basedOn w:val="77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1" w:customStyle="1">
    <w:name w:val="Bordered &amp; Lined - Accent 2"/>
    <w:basedOn w:val="77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2" w:customStyle="1">
    <w:name w:val="Bordered &amp; Lined - Accent 3"/>
    <w:basedOn w:val="77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3" w:customStyle="1">
    <w:name w:val="Bordered &amp; Lined - Accent 4"/>
    <w:basedOn w:val="77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4" w:customStyle="1">
    <w:name w:val="Bordered &amp; Lined - Accent 5"/>
    <w:basedOn w:val="77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5" w:customStyle="1">
    <w:name w:val="Bordered &amp; Lined - Accent 6"/>
    <w:basedOn w:val="77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6" w:customStyle="1">
    <w:name w:val="Bordered"/>
    <w:basedOn w:val="77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7" w:customStyle="1">
    <w:name w:val="Bordered - Accent 1"/>
    <w:basedOn w:val="7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8" w:customStyle="1">
    <w:name w:val="Bordered - Accent 2"/>
    <w:basedOn w:val="7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9" w:customStyle="1">
    <w:name w:val="Bordered - Accent 3"/>
    <w:basedOn w:val="7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0" w:customStyle="1">
    <w:name w:val="Bordered - Accent 4"/>
    <w:basedOn w:val="7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1" w:customStyle="1">
    <w:name w:val="Bordered - Accent 5"/>
    <w:basedOn w:val="7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2" w:customStyle="1">
    <w:name w:val="Bordered - Accent 6"/>
    <w:basedOn w:val="7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3" w:customStyle="1">
    <w:name w:val="Footnote Text Char"/>
    <w:uiPriority w:val="99"/>
    <w:rPr>
      <w:sz w:val="18"/>
    </w:rPr>
  </w:style>
  <w:style w:type="paragraph" w:styleId="924">
    <w:name w:val="endnote text"/>
    <w:basedOn w:val="763"/>
    <w:link w:val="925"/>
    <w:uiPriority w:val="99"/>
    <w:semiHidden/>
    <w:unhideWhenUsed/>
    <w:rPr>
      <w:sz w:val="20"/>
    </w:rPr>
  </w:style>
  <w:style w:type="character" w:styleId="925" w:customStyle="1">
    <w:name w:val="Текст концевой сноски Знак"/>
    <w:link w:val="924"/>
    <w:uiPriority w:val="99"/>
    <w:rPr>
      <w:sz w:val="20"/>
    </w:rPr>
  </w:style>
  <w:style w:type="character" w:styleId="926">
    <w:name w:val="endnote reference"/>
    <w:basedOn w:val="773"/>
    <w:uiPriority w:val="99"/>
    <w:semiHidden/>
    <w:unhideWhenUsed/>
    <w:rPr>
      <w:vertAlign w:val="superscript"/>
    </w:rPr>
  </w:style>
  <w:style w:type="paragraph" w:styleId="927">
    <w:name w:val="toc 1"/>
    <w:basedOn w:val="763"/>
    <w:next w:val="763"/>
    <w:uiPriority w:val="39"/>
    <w:unhideWhenUsed/>
    <w:pPr>
      <w:spacing w:after="57"/>
    </w:pPr>
  </w:style>
  <w:style w:type="paragraph" w:styleId="928">
    <w:name w:val="toc 2"/>
    <w:basedOn w:val="763"/>
    <w:next w:val="763"/>
    <w:uiPriority w:val="39"/>
    <w:unhideWhenUsed/>
    <w:pPr>
      <w:ind w:left="283"/>
      <w:spacing w:after="57"/>
    </w:pPr>
  </w:style>
  <w:style w:type="paragraph" w:styleId="929">
    <w:name w:val="toc 3"/>
    <w:basedOn w:val="763"/>
    <w:next w:val="763"/>
    <w:uiPriority w:val="39"/>
    <w:unhideWhenUsed/>
    <w:pPr>
      <w:ind w:left="567"/>
      <w:spacing w:after="57"/>
    </w:pPr>
  </w:style>
  <w:style w:type="paragraph" w:styleId="930">
    <w:name w:val="toc 4"/>
    <w:basedOn w:val="763"/>
    <w:next w:val="763"/>
    <w:uiPriority w:val="39"/>
    <w:unhideWhenUsed/>
    <w:pPr>
      <w:ind w:left="850"/>
      <w:spacing w:after="57"/>
    </w:pPr>
  </w:style>
  <w:style w:type="paragraph" w:styleId="931">
    <w:name w:val="toc 5"/>
    <w:basedOn w:val="763"/>
    <w:next w:val="763"/>
    <w:uiPriority w:val="39"/>
    <w:unhideWhenUsed/>
    <w:pPr>
      <w:ind w:left="1134"/>
      <w:spacing w:after="57"/>
    </w:pPr>
  </w:style>
  <w:style w:type="paragraph" w:styleId="932">
    <w:name w:val="toc 6"/>
    <w:basedOn w:val="763"/>
    <w:next w:val="763"/>
    <w:uiPriority w:val="39"/>
    <w:unhideWhenUsed/>
    <w:pPr>
      <w:ind w:left="1417"/>
      <w:spacing w:after="57"/>
    </w:pPr>
  </w:style>
  <w:style w:type="paragraph" w:styleId="933">
    <w:name w:val="toc 7"/>
    <w:basedOn w:val="763"/>
    <w:next w:val="763"/>
    <w:uiPriority w:val="39"/>
    <w:unhideWhenUsed/>
    <w:pPr>
      <w:ind w:left="1701"/>
      <w:spacing w:after="57"/>
    </w:pPr>
  </w:style>
  <w:style w:type="paragraph" w:styleId="934">
    <w:name w:val="toc 8"/>
    <w:basedOn w:val="763"/>
    <w:next w:val="763"/>
    <w:uiPriority w:val="39"/>
    <w:unhideWhenUsed/>
    <w:pPr>
      <w:ind w:left="1984"/>
      <w:spacing w:after="57"/>
    </w:pPr>
  </w:style>
  <w:style w:type="paragraph" w:styleId="935">
    <w:name w:val="toc 9"/>
    <w:basedOn w:val="763"/>
    <w:next w:val="763"/>
    <w:uiPriority w:val="39"/>
    <w:unhideWhenUsed/>
    <w:pPr>
      <w:ind w:left="2268"/>
      <w:spacing w:after="57"/>
    </w:pPr>
  </w:style>
  <w:style w:type="paragraph" w:styleId="936">
    <w:name w:val="TOC Heading"/>
    <w:uiPriority w:val="39"/>
    <w:unhideWhenUsed/>
  </w:style>
  <w:style w:type="paragraph" w:styleId="937">
    <w:name w:val="table of figures"/>
    <w:basedOn w:val="763"/>
    <w:next w:val="763"/>
    <w:uiPriority w:val="99"/>
    <w:unhideWhenUsed/>
  </w:style>
  <w:style w:type="character" w:styleId="938">
    <w:name w:val="Strong"/>
    <w:qFormat/>
    <w:rPr>
      <w:b/>
      <w:bCs/>
    </w:rPr>
  </w:style>
  <w:style w:type="paragraph" w:styleId="939">
    <w:name w:val="Document Map"/>
    <w:basedOn w:val="763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40">
    <w:name w:val="Table Grid"/>
    <w:basedOn w:val="77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1">
    <w:name w:val="Footer"/>
    <w:basedOn w:val="763"/>
    <w:link w:val="954"/>
    <w:uiPriority w:val="99"/>
    <w:pPr>
      <w:tabs>
        <w:tab w:val="center" w:pos="4677" w:leader="none"/>
        <w:tab w:val="right" w:pos="9355" w:leader="none"/>
      </w:tabs>
    </w:pPr>
  </w:style>
  <w:style w:type="character" w:styleId="942">
    <w:name w:val="page number"/>
    <w:basedOn w:val="773"/>
  </w:style>
  <w:style w:type="paragraph" w:styleId="943">
    <w:name w:val="List Paragraph"/>
    <w:basedOn w:val="763"/>
    <w:uiPriority w:val="34"/>
    <w:qFormat/>
    <w:pPr>
      <w:contextualSpacing/>
      <w:ind w:left="720"/>
    </w:pPr>
  </w:style>
  <w:style w:type="paragraph" w:styleId="944">
    <w:name w:val="Balloon Text"/>
    <w:basedOn w:val="763"/>
    <w:link w:val="945"/>
    <w:uiPriority w:val="99"/>
    <w:semiHidden/>
    <w:unhideWhenUsed/>
    <w:rPr>
      <w:rFonts w:ascii="Tahoma" w:hAnsi="Tahoma"/>
      <w:sz w:val="16"/>
      <w:szCs w:val="16"/>
    </w:rPr>
  </w:style>
  <w:style w:type="character" w:styleId="945" w:customStyle="1">
    <w:name w:val="Текст выноски Знак"/>
    <w:link w:val="944"/>
    <w:uiPriority w:val="99"/>
    <w:semiHidden/>
    <w:rPr>
      <w:rFonts w:ascii="Tahoma" w:hAnsi="Tahoma" w:cs="Tahoma"/>
      <w:sz w:val="16"/>
      <w:szCs w:val="16"/>
    </w:rPr>
  </w:style>
  <w:style w:type="character" w:styleId="946">
    <w:name w:val="Hyperlink"/>
    <w:uiPriority w:val="99"/>
    <w:unhideWhenUsed/>
    <w:rPr>
      <w:color w:val="0000ff"/>
      <w:u w:val="single"/>
    </w:rPr>
  </w:style>
  <w:style w:type="paragraph" w:styleId="94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8">
    <w:name w:val="Header"/>
    <w:basedOn w:val="763"/>
    <w:link w:val="94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9" w:customStyle="1">
    <w:name w:val="Верхний колонтитул Знак"/>
    <w:link w:val="948"/>
    <w:uiPriority w:val="99"/>
    <w:rPr>
      <w:sz w:val="24"/>
      <w:szCs w:val="24"/>
    </w:rPr>
  </w:style>
  <w:style w:type="paragraph" w:styleId="950">
    <w:name w:val="Normal (Web)"/>
    <w:basedOn w:val="763"/>
    <w:link w:val="951"/>
    <w:pPr>
      <w:spacing w:before="100" w:beforeAutospacing="1" w:after="100" w:afterAutospacing="1"/>
    </w:pPr>
  </w:style>
  <w:style w:type="character" w:styleId="951" w:customStyle="1">
    <w:name w:val="Обычный (веб) Знак"/>
    <w:link w:val="950"/>
    <w:rPr>
      <w:sz w:val="24"/>
      <w:szCs w:val="24"/>
    </w:rPr>
  </w:style>
  <w:style w:type="paragraph" w:styleId="952">
    <w:name w:val="Body Text Indent 3"/>
    <w:basedOn w:val="763"/>
    <w:link w:val="953"/>
    <w:pPr>
      <w:ind w:right="-143" w:firstLine="709"/>
      <w:jc w:val="both"/>
    </w:pPr>
    <w:rPr>
      <w:sz w:val="28"/>
      <w:szCs w:val="28"/>
    </w:rPr>
  </w:style>
  <w:style w:type="character" w:styleId="953" w:customStyle="1">
    <w:name w:val="Основной текст с отступом 3 Знак"/>
    <w:link w:val="952"/>
    <w:rPr>
      <w:sz w:val="28"/>
      <w:szCs w:val="28"/>
    </w:rPr>
  </w:style>
  <w:style w:type="character" w:styleId="954" w:customStyle="1">
    <w:name w:val="Нижний колонтитул Знак"/>
    <w:link w:val="941"/>
    <w:uiPriority w:val="99"/>
    <w:rPr>
      <w:sz w:val="24"/>
      <w:szCs w:val="24"/>
    </w:rPr>
  </w:style>
  <w:style w:type="paragraph" w:styleId="955">
    <w:name w:val="Body Text Indent"/>
    <w:basedOn w:val="763"/>
    <w:link w:val="956"/>
    <w:uiPriority w:val="99"/>
    <w:semiHidden/>
    <w:unhideWhenUsed/>
    <w:pPr>
      <w:ind w:left="283"/>
      <w:spacing w:after="120"/>
    </w:pPr>
  </w:style>
  <w:style w:type="character" w:styleId="956" w:customStyle="1">
    <w:name w:val="Основной текст с отступом Знак"/>
    <w:basedOn w:val="773"/>
    <w:link w:val="955"/>
    <w:uiPriority w:val="99"/>
    <w:semiHidden/>
    <w:rPr>
      <w:sz w:val="24"/>
      <w:szCs w:val="24"/>
    </w:rPr>
  </w:style>
  <w:style w:type="paragraph" w:styleId="957" w:customStyle="1">
    <w:name w:val="ConsPlusNormal"/>
    <w:rPr>
      <w:sz w:val="28"/>
      <w:szCs w:val="28"/>
    </w:rPr>
  </w:style>
  <w:style w:type="paragraph" w:styleId="958" w:customStyle="1">
    <w:name w:val="Табличный_боковик_11"/>
    <w:link w:val="959"/>
    <w:qFormat/>
    <w:rPr>
      <w:sz w:val="22"/>
      <w:szCs w:val="24"/>
    </w:rPr>
  </w:style>
  <w:style w:type="character" w:styleId="959" w:customStyle="1">
    <w:name w:val="Табличный_боковик_11 Знак"/>
    <w:link w:val="958"/>
    <w:rPr>
      <w:sz w:val="22"/>
      <w:szCs w:val="24"/>
    </w:rPr>
  </w:style>
  <w:style w:type="character" w:styleId="960">
    <w:name w:val="FollowedHyperlink"/>
    <w:basedOn w:val="773"/>
    <w:uiPriority w:val="99"/>
    <w:semiHidden/>
    <w:unhideWhenUsed/>
    <w:rPr>
      <w:color w:val="800080" w:themeColor="followedHyperlink"/>
      <w:u w:val="single"/>
    </w:rPr>
  </w:style>
  <w:style w:type="paragraph" w:styleId="961" w:customStyle="1">
    <w:name w:val="Default"/>
    <w:rPr>
      <w:color w:val="000000"/>
      <w:sz w:val="24"/>
      <w:szCs w:val="24"/>
    </w:rPr>
  </w:style>
  <w:style w:type="paragraph" w:styleId="962">
    <w:name w:val="footnote text"/>
    <w:basedOn w:val="763"/>
    <w:link w:val="963"/>
    <w:uiPriority w:val="99"/>
    <w:semiHidden/>
    <w:unhideWhenUsed/>
    <w:rPr>
      <w:sz w:val="20"/>
      <w:szCs w:val="20"/>
    </w:rPr>
  </w:style>
  <w:style w:type="character" w:styleId="963" w:customStyle="1">
    <w:name w:val="Текст сноски Знак"/>
    <w:basedOn w:val="773"/>
    <w:link w:val="962"/>
    <w:uiPriority w:val="99"/>
    <w:semiHidden/>
  </w:style>
  <w:style w:type="character" w:styleId="964">
    <w:name w:val="footnote reference"/>
    <w:basedOn w:val="773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D1BBA-E4D5-4843-B931-44C46DB3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45</cp:revision>
  <dcterms:created xsi:type="dcterms:W3CDTF">2024-03-06T03:58:00Z</dcterms:created>
  <dcterms:modified xsi:type="dcterms:W3CDTF">2026-06-29T04:20:00Z</dcterms:modified>
</cp:coreProperties>
</file>