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право заключения договора аренды земельного участка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</w:t>
      </w:r>
      <w:r>
        <w:rPr>
          <w:sz w:val="26"/>
          <w:szCs w:val="26"/>
        </w:rPr>
        <w:t xml:space="preserve">на право заключения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2"/>
          <w:sz w:val="26"/>
          <w:szCs w:val="26"/>
        </w:rPr>
        <w:t xml:space="preserve">Организатор аукциона в электронной форме: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области, местонахождение</w:t>
      </w:r>
      <w:r>
        <w:t xml:space="preserve"> </w:t>
      </w:r>
      <w:r>
        <w:rPr>
          <w:sz w:val="26"/>
          <w:szCs w:val="26"/>
        </w:rPr>
        <w:t xml:space="preserve">630007, город Новосибирск, Красный проспект, дом 18,</w:t>
      </w:r>
      <w:r>
        <w:t xml:space="preserve"> </w:t>
      </w:r>
      <w:r>
        <w:rPr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40"/>
            <w:sz w:val="26"/>
            <w:szCs w:val="26"/>
          </w:rPr>
          <w:t xml:space="preserve">http://dizo.nso.ru</w:t>
        </w:r>
      </w:hyperlink>
      <w:r>
        <w:rPr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40"/>
            <w:sz w:val="26"/>
            <w:szCs w:val="26"/>
            <w:lang w:val="en-US"/>
          </w:rPr>
          <w:t xml:space="preserve">dgi</w:t>
        </w:r>
        <w:r>
          <w:rPr>
            <w:rStyle w:val="940"/>
            <w:sz w:val="26"/>
            <w:szCs w:val="26"/>
          </w:rPr>
          <w:t xml:space="preserve">@nso.ru</w:t>
        </w:r>
      </w:hyperlink>
      <w:r>
        <w:rPr>
          <w:sz w:val="26"/>
          <w:szCs w:val="26"/>
        </w:rPr>
        <w:t xml:space="preserve">, телефон: +7 (383) 238-60-02.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sz w:val="26"/>
          <w:szCs w:val="26"/>
        </w:rPr>
        <w:t xml:space="preserve"> депар</w:t>
      </w:r>
      <w:r>
        <w:rPr>
          <w:sz w:val="26"/>
          <w:szCs w:val="26"/>
        </w:rPr>
        <w:t xml:space="preserve">тамент имущества и земельных отношений Новосибирской области.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2"/>
          <w:sz w:val="26"/>
          <w:szCs w:val="26"/>
        </w:rPr>
        <w:t xml:space="preserve">Реквизиты решения о проведении аукциона:</w:t>
      </w:r>
      <w:r>
        <w:rPr>
          <w:sz w:val="26"/>
          <w:szCs w:val="26"/>
        </w:rPr>
        <w:t xml:space="preserve"> приказ департамента имущества и земельных отношений Новосибирской области от 21.11.2025 № 3610</w:t>
      </w:r>
      <w:r>
        <w:rPr>
          <w:sz w:val="26"/>
          <w:szCs w:val="26"/>
        </w:rPr>
        <w:t xml:space="preserve"> «О проведении аукциона на право заключения договора аренды земельного участка с кадастровым номером 54:19:093502:10373».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</w:pPr>
      <w:r>
        <w:rPr>
          <w:rStyle w:val="932"/>
          <w:sz w:val="26"/>
          <w:szCs w:val="26"/>
        </w:rPr>
        <w:t xml:space="preserve">Оператор электронной площадки:</w:t>
      </w:r>
      <w:r>
        <w:rPr>
          <w:rStyle w:val="932"/>
          <w:b w:val="0"/>
          <w:sz w:val="26"/>
          <w:szCs w:val="26"/>
        </w:rPr>
        <w:t xml:space="preserve"> общество с ограниченной ответственностью «РТС-тендер», местонахождения: 121151, город М</w:t>
      </w:r>
      <w:r>
        <w:rPr>
          <w:rStyle w:val="932"/>
          <w:b w:val="0"/>
          <w:sz w:val="26"/>
          <w:szCs w:val="26"/>
        </w:rPr>
        <w:t xml:space="preserve">осква, набережная Тараса Шевченко, дом 23А,</w:t>
      </w:r>
      <w:r>
        <w:t xml:space="preserve"> </w:t>
      </w:r>
      <w:r>
        <w:rPr>
          <w:rStyle w:val="932"/>
          <w:b w:val="0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40"/>
            <w:sz w:val="26"/>
            <w:szCs w:val="26"/>
          </w:rPr>
          <w:t xml:space="preserve">www.rts-tender.ru</w:t>
        </w:r>
      </w:hyperlink>
      <w:r>
        <w:rPr>
          <w:rStyle w:val="932"/>
          <w:b w:val="0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40"/>
            <w:sz w:val="26"/>
            <w:szCs w:val="26"/>
          </w:rPr>
          <w:t xml:space="preserve">iSupport@rts-tender.ru</w:t>
        </w:r>
      </w:hyperlink>
      <w:r>
        <w:rPr>
          <w:rStyle w:val="932"/>
          <w:b w:val="0"/>
          <w:sz w:val="26"/>
          <w:szCs w:val="26"/>
        </w:rPr>
        <w:t xml:space="preserve">, телефон: +7 (499) 653-55-00.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</w:pPr>
      <w:r>
        <w:rPr>
          <w:rStyle w:val="932"/>
          <w:sz w:val="26"/>
          <w:szCs w:val="26"/>
        </w:rPr>
        <w:t xml:space="preserve">Форма торгов: </w:t>
      </w:r>
      <w:r>
        <w:rPr>
          <w:rStyle w:val="932"/>
          <w:b w:val="0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2"/>
          <w:sz w:val="26"/>
          <w:szCs w:val="26"/>
        </w:rPr>
        <w:t xml:space="preserve">Дата проведения аукциона:</w:t>
      </w:r>
      <w:r>
        <w:rPr>
          <w:sz w:val="26"/>
          <w:szCs w:val="26"/>
        </w:rPr>
        <w:t xml:space="preserve"> 22 июля 2026 года.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Время проведения аукциона:</w:t>
      </w:r>
      <w:r>
        <w:rPr>
          <w:sz w:val="26"/>
          <w:szCs w:val="26"/>
        </w:rPr>
        <w:t xml:space="preserve"> 10:</w:t>
      </w:r>
      <w:r>
        <w:rPr>
          <w:sz w:val="26"/>
          <w:szCs w:val="26"/>
        </w:rPr>
        <w:t xml:space="preserve">00 по местному времени.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rStyle w:val="932"/>
          <w:sz w:val="26"/>
          <w:szCs w:val="26"/>
        </w:rPr>
        <w:t xml:space="preserve">Порядок проведения аукциона:</w:t>
      </w:r>
      <w:r>
        <w:rPr>
          <w:sz w:val="26"/>
          <w:szCs w:val="26"/>
        </w:rPr>
        <w:t xml:space="preserve"> оператор электронной площадки обеспе</w:t>
      </w:r>
      <w:r>
        <w:rPr>
          <w:sz w:val="26"/>
          <w:szCs w:val="26"/>
        </w:rPr>
        <w:t xml:space="preserve">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Если в течение 10 (десяти) минут со времени начала проведения процедуры аукциона не поступило ни одного предлож</w:t>
      </w:r>
      <w:r>
        <w:rPr>
          <w:sz w:val="26"/>
          <w:szCs w:val="26"/>
        </w:rPr>
        <w:t xml:space="preserve">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В случае поступления предложения о более высокой цене предмета аукциона, в</w:t>
      </w:r>
      <w:r>
        <w:rPr>
          <w:sz w:val="26"/>
          <w:szCs w:val="26"/>
        </w:rPr>
        <w:t xml:space="preserve">ремя представления следующих предложений о цене предмета аукциона продлевается на 10 (десять) минут.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</w:t>
      </w:r>
      <w:r>
        <w:rPr>
          <w:sz w:val="26"/>
          <w:szCs w:val="26"/>
        </w:rPr>
        <w:t xml:space="preserve">ние о цене предмета аукциона, которое предусматривало бы более высокую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Ход проведения процедуры аукциона фиксируется оператором электронной площадки в </w:t>
      </w:r>
      <w:r>
        <w:rPr>
          <w:sz w:val="26"/>
          <w:szCs w:val="26"/>
        </w:rPr>
        <w:t xml:space="preserve">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Протокол о результатах аукц</w:t>
      </w:r>
      <w:r>
        <w:rPr>
          <w:sz w:val="26"/>
          <w:szCs w:val="26"/>
        </w:rPr>
        <w:t xml:space="preserve">иона публикуется организатором аукциона на электронной площадке.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2"/>
          <w:sz w:val="26"/>
          <w:szCs w:val="26"/>
        </w:rPr>
        <w:t xml:space="preserve">Предмет аукциона:</w:t>
      </w:r>
      <w:r>
        <w:rPr>
          <w:sz w:val="26"/>
          <w:szCs w:val="26"/>
        </w:rPr>
        <w:t xml:space="preserve"> право на заключение договора арен</w:t>
      </w:r>
      <w:r>
        <w:rPr>
          <w:sz w:val="26"/>
          <w:szCs w:val="26"/>
        </w:rPr>
        <w:t xml:space="preserve">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keepNext/>
        <w:rPr>
          <w:rStyle w:val="932"/>
          <w:sz w:val="26"/>
          <w:szCs w:val="26"/>
        </w:rPr>
      </w:pPr>
      <w:r>
        <w:rPr>
          <w:rStyle w:val="932"/>
          <w:sz w:val="26"/>
          <w:szCs w:val="26"/>
        </w:rPr>
        <w:t xml:space="preserve">Лот № 1</w:t>
      </w:r>
      <w:r>
        <w:rPr>
          <w:rStyle w:val="932"/>
          <w:sz w:val="26"/>
          <w:szCs w:val="26"/>
        </w:rPr>
      </w:r>
      <w:r>
        <w:rPr>
          <w:rStyle w:val="932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54:19:093502:10373, площадью 1170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 местоположение:    Российская Федерация, Новосибирская область, Новосибирский район, Кубовинский сельсовет</w:t>
      </w:r>
      <w:r>
        <w:rPr>
          <w:sz w:val="26"/>
          <w:szCs w:val="26"/>
        </w:rPr>
        <w:t xml:space="preserve">, категория земель: земли сельскохозяйственного назначения, разрешенное использование: ведение садоводства (13.2).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 w:val="0"/>
          <w:bCs w:val="0"/>
          <w:sz w:val="26"/>
          <w:szCs w:val="26"/>
          <w:highlight w:val="none"/>
        </w:rPr>
      </w:pPr>
      <w:r>
        <w:rPr>
          <w:rStyle w:val="932"/>
          <w:sz w:val="26"/>
          <w:szCs w:val="26"/>
        </w:rPr>
        <w:t xml:space="preserve">Ограничение прав и обременение земельного участка:</w:t>
      </w:r>
      <w:r>
        <w:rPr>
          <w:rStyle w:val="932"/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</w:p>
    <w:p>
      <w:pPr>
        <w:pStyle w:val="937"/>
        <w:numPr>
          <w:ilvl w:val="0"/>
          <w:numId w:val="26"/>
        </w:numPr>
        <w:ind w:left="0" w:right="0" w:firstLine="567"/>
        <w:jc w:val="both"/>
        <w:rPr>
          <w:b w:val="0"/>
          <w:bCs w:val="0"/>
          <w:sz w:val="26"/>
          <w:szCs w:val="26"/>
        </w:rPr>
      </w:pP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Земельный участок частично расположен в охранной зоне ЛЭП 0.4 кВ. Площадь земельного участка, покрываемая зоной с особыми условиями использования территории, составляет 11 кв.м.;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pStyle w:val="937"/>
        <w:numPr>
          <w:ilvl w:val="0"/>
          <w:numId w:val="26"/>
        </w:numPr>
        <w:ind w:left="0" w:right="0" w:firstLine="567"/>
        <w:jc w:val="both"/>
        <w:rPr>
          <w:rStyle w:val="932"/>
          <w:b w:val="0"/>
          <w:bCs w:val="0"/>
          <w:sz w:val="26"/>
          <w:szCs w:val="26"/>
          <w:highlight w:val="none"/>
          <w:lang w:val="ru-RU"/>
        </w:rPr>
      </w:pP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В соответствии со сведениями генерального плана Кубовинского сельсовета Новосибирского района Новосибирской области, а также сведениям </w:t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Геоинформационного портала (сайт https://nspd.gov.ru/)</w:t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, земельный участок частично расположен в границах береговой полосы р. Малый Барлак. Согласно пп.пп 6, 8 ст. 6 Водного Кодекса Российской Федерации п</w:t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олоса земли вдоль береговой линии (границы водного объекта) водного объекта общего пользования (береговая полоса) предназначается для общего пользования, соответственно к</w:t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причаливания п</w:t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лавучих средств.</w:t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 На основании п. 8 ст. 27 Земельного Кодекса Российской Федерации (далее ЗК РФ) </w:t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 </w:t>
      </w:r>
      <w:r>
        <w:rPr>
          <w:rStyle w:val="932"/>
          <w:b/>
          <w:bCs/>
          <w:i/>
          <w:iCs/>
          <w:sz w:val="26"/>
          <w:szCs w:val="26"/>
          <w:highlight w:val="none"/>
          <w:lang w:val="ru-RU"/>
        </w:rPr>
        <w:t xml:space="preserve">запрещается приватизация земельных участков</w:t>
      </w:r>
      <w:r>
        <w:rPr>
          <w:rStyle w:val="932"/>
          <w:b/>
          <w:bCs/>
          <w:i/>
          <w:iCs/>
          <w:sz w:val="26"/>
          <w:szCs w:val="26"/>
          <w:highlight w:val="none"/>
          <w:lang w:val="ru-RU"/>
        </w:rPr>
        <w:t xml:space="preserve"> в пределах береговой полосы</w:t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. Согласно п. 4 ст. 39.8 ЗК РФ д</w:t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оговор аренды земельного участка, находящегося в государственной или муниципальной собственности и расположенного в границах береговой полосы водного объекта общего пользования, заключается при условии обеспечения свободного доступа граждан к водному объек</w:t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ту общего пользования и его береговой полосе. </w:t>
      </w:r>
      <w:r>
        <w:rPr>
          <w:b w:val="0"/>
          <w:bCs w:val="0"/>
          <w:sz w:val="26"/>
          <w:szCs w:val="26"/>
        </w:rPr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</w:r>
    </w:p>
    <w:p>
      <w:pPr>
        <w:ind w:left="0" w:right="0" w:firstLine="567"/>
        <w:jc w:val="both"/>
        <w:rPr>
          <w:b w:val="0"/>
          <w:bCs w:val="0"/>
          <w:sz w:val="26"/>
          <w:szCs w:val="26"/>
        </w:rPr>
      </w:pPr>
      <w:r>
        <w:rPr>
          <w:rStyle w:val="932"/>
          <w:b w:val="0"/>
          <w:bCs w:val="0"/>
          <w:sz w:val="26"/>
          <w:szCs w:val="26"/>
          <w:highlight w:val="none"/>
          <w:lang w:val="ru-RU"/>
        </w:rPr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В связи с невозможностью формирования из земельного участка с кадастровым номером 54:19:093502:10373 иного земельного участка в соответствии с предельными минимальными размерами земельных участков, установленными правилами землепользования и застройки Кубов</w:t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инского сельсовета Новосибирского района Новосибирской области, утвержденными приказом министерства строительства Новосибирской области 14.04.2021 № 232 (ред. от 19.12.2025), с целью исключения береговой полосы, приобрести земельный участок в собственность </w:t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  <w:t xml:space="preserve">в порядке, установленном ст. 39.20 ЗК РФ не представляется возможным.</w:t>
      </w:r>
      <w:r>
        <w:rPr>
          <w:rStyle w:val="932"/>
          <w:b w:val="0"/>
          <w:bCs w:val="0"/>
          <w:sz w:val="26"/>
          <w:szCs w:val="26"/>
          <w:highlight w:val="none"/>
          <w:lang w:val="ru-RU"/>
        </w:rPr>
      </w:r>
      <w:r>
        <w:rPr>
          <w:b w:val="0"/>
          <w:bCs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 w:val="0"/>
          <w:bCs w:val="0"/>
          <w:sz w:val="26"/>
          <w:szCs w:val="26"/>
        </w:rPr>
      </w:pPr>
      <w:r>
        <w:rPr>
          <w:b/>
          <w:sz w:val="26"/>
          <w:szCs w:val="26"/>
        </w:rPr>
        <w:t xml:space="preserve">Дополнительные сведения о земельном участке: </w:t>
      </w:r>
      <w:r>
        <w:rPr>
          <w:b w:val="0"/>
          <w:bCs w:val="0"/>
          <w:sz w:val="26"/>
          <w:szCs w:val="26"/>
        </w:rPr>
        <w:t xml:space="preserve">отсутствуют.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rStyle w:val="932"/>
          <w:sz w:val="26"/>
          <w:szCs w:val="26"/>
        </w:rPr>
        <w:t xml:space="preserve">Требование к участникам аукциона: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В соответствии с </w:t>
      </w:r>
      <w:r>
        <w:rPr>
          <w:rStyle w:val="932"/>
          <w:b w:val="0"/>
          <w:sz w:val="26"/>
          <w:szCs w:val="26"/>
        </w:rPr>
        <w:t xml:space="preserve">абзацем 2 пункта 10 статьи 39.11 Земельного кодекса Российской Федерации участниками аукциона, проводимого в случае, предусмотренном пунктом 7 статьи 39.18 Земельного кодекса Российской Федерации, могут являться только граждане.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2"/>
          <w:sz w:val="26"/>
          <w:szCs w:val="26"/>
        </w:rPr>
      </w:pPr>
      <w:r>
        <w:rPr>
          <w:rStyle w:val="932"/>
          <w:sz w:val="26"/>
          <w:szCs w:val="26"/>
        </w:rPr>
        <w:t xml:space="preserve">Получение электронной подпи</w:t>
      </w:r>
      <w:r>
        <w:rPr>
          <w:rStyle w:val="932"/>
          <w:sz w:val="26"/>
          <w:szCs w:val="26"/>
        </w:rPr>
        <w:t xml:space="preserve">си и регистрация (аккредитация) на электронной площадке:</w:t>
      </w:r>
      <w:r>
        <w:rPr>
          <w:rStyle w:val="932"/>
          <w:sz w:val="26"/>
          <w:szCs w:val="26"/>
        </w:rPr>
      </w:r>
      <w:r>
        <w:rPr>
          <w:rStyle w:val="932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регистрации на официальном сайте торгов Российской Федерации www.torgi.gov.ru (далее – ГИС Торги). Рег</w:t>
      </w:r>
      <w:r>
        <w:rPr>
          <w:rStyle w:val="932"/>
          <w:b w:val="0"/>
          <w:sz w:val="26"/>
          <w:szCs w:val="26"/>
        </w:rPr>
        <w:t xml:space="preserve">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Пройдя регистрацию в ГИС Торги Претендент получает доступ к участию в торгах на электронных площадка</w:t>
      </w:r>
      <w:r>
        <w:rPr>
          <w:rStyle w:val="932"/>
          <w:b w:val="0"/>
          <w:sz w:val="26"/>
          <w:szCs w:val="26"/>
        </w:rPr>
        <w:t xml:space="preserve">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После регистрации в ГИС Торги информация автоматически направляется на электронные площадки по</w:t>
      </w:r>
      <w:r>
        <w:rPr>
          <w:rStyle w:val="932"/>
          <w:b w:val="0"/>
          <w:sz w:val="26"/>
          <w:szCs w:val="26"/>
        </w:rPr>
        <w:t xml:space="preserve">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В случае если Претендент (юридическое лицо или индивидуальный предприниматель</w:t>
      </w:r>
      <w:r>
        <w:rPr>
          <w:rStyle w:val="932"/>
          <w:b w:val="0"/>
          <w:sz w:val="26"/>
          <w:szCs w:val="26"/>
        </w:rPr>
        <w:t xml:space="preserve">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иметь машиночитаемую доверенность выданную в соответствии с Федеральным зако</w:t>
      </w:r>
      <w:r>
        <w:rPr>
          <w:rStyle w:val="932"/>
          <w:b w:val="0"/>
          <w:sz w:val="26"/>
          <w:szCs w:val="26"/>
        </w:rPr>
        <w:t xml:space="preserve">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государственные порталы.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Регистрации в ГИС Торги подлежат Претенденты, ранее не зарег</w:t>
      </w:r>
      <w:r>
        <w:rPr>
          <w:rStyle w:val="932"/>
          <w:b w:val="0"/>
          <w:sz w:val="26"/>
          <w:szCs w:val="26"/>
        </w:rPr>
        <w:t xml:space="preserve">истрированные</w:t>
      </w:r>
      <w:r>
        <w:rPr>
          <w:rStyle w:val="932"/>
          <w:b w:val="0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«Служба поддержки»</w:t>
      </w:r>
      <w:r>
        <w:rPr>
          <w:rStyle w:val="932"/>
          <w:b w:val="0"/>
          <w:sz w:val="26"/>
          <w:szCs w:val="26"/>
        </w:rPr>
        <w:t xml:space="preserve"> «Информационные материалы».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Для обеспечения доступа к подаче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</w:t>
      </w:r>
      <w:r>
        <w:rPr>
          <w:rStyle w:val="932"/>
          <w:b w:val="0"/>
          <w:sz w:val="26"/>
          <w:szCs w:val="26"/>
        </w:rPr>
        <w:t xml:space="preserve">определяющий правила функционирования электронной площадки</w:t>
      </w:r>
      <w:r>
        <w:t xml:space="preserve"> </w:t>
      </w:r>
      <w:r>
        <w:rPr>
          <w:rStyle w:val="932"/>
          <w:b w:val="0"/>
          <w:sz w:val="26"/>
          <w:szCs w:val="26"/>
        </w:rPr>
        <w:t xml:space="preserve">расположен в информационно-телекоммуникационной сети «Интернет»</w:t>
      </w:r>
      <w:r>
        <w:t xml:space="preserve"> </w:t>
      </w:r>
      <w:r>
        <w:rPr>
          <w:rStyle w:val="932"/>
          <w:b w:val="0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40"/>
            <w:bCs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40"/>
          <w:bCs/>
          <w:sz w:val="26"/>
          <w:szCs w:val="26"/>
        </w:rPr>
        <w:t xml:space="preserve"> </w:t>
      </w:r>
      <w:r>
        <w:rPr>
          <w:rStyle w:val="932"/>
          <w:b w:val="0"/>
          <w:sz w:val="26"/>
          <w:szCs w:val="26"/>
        </w:rPr>
        <w:t xml:space="preserve">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Сведения о размере платы взимаемой с победителя электронного аукциона или иных лиц, с которыми в соответствии с пунктами 13, 14, 20 и 25 статьи 39.12 Земельного</w:t>
      </w:r>
      <w:r>
        <w:rPr>
          <w:b/>
          <w:sz w:val="26"/>
          <w:szCs w:val="26"/>
        </w:rPr>
        <w:t xml:space="preserve"> кодекса Российской Федерации заключается договор аренды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Передача денежных средств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</w:t>
      </w:r>
      <w:r>
        <w:rPr>
          <w:sz w:val="26"/>
          <w:szCs w:val="26"/>
        </w:rPr>
        <w:t xml:space="preserve">ечении на электронной площадке «РТС-тендер» имущественные торги.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Тариф (гарантийное обеспечение оплаты услуг), размещён по адресу: </w:t>
      </w:r>
      <w:hyperlink r:id="rId18" w:tooltip="https://www.rts-tender.ru/tariffs/platform-property-sales-tariffs" w:history="1">
        <w:r>
          <w:rPr>
            <w:rStyle w:val="940"/>
            <w:sz w:val="26"/>
            <w:szCs w:val="26"/>
          </w:rPr>
          <w:t xml:space="preserve">https://www.rts-tender.ru/tariffs/platform-property-sales-tariffs</w:t>
        </w:r>
      </w:hyperlink>
      <w:r>
        <w:rPr>
          <w:rStyle w:val="940"/>
          <w:sz w:val="26"/>
          <w:szCs w:val="26"/>
        </w:rPr>
        <w:t xml:space="preserve"> </w:t>
      </w:r>
      <w:r>
        <w:rPr>
          <w:sz w:val="26"/>
          <w:szCs w:val="26"/>
        </w:rPr>
        <w:t xml:space="preserve">. Размер тарифа – 1% от начальной цены предмета аукциона и не более 2 000 рублей, в том числе НДС.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Денежные средства в размере стоимости оказания услуг блокируютс</w:t>
      </w:r>
      <w:r>
        <w:rPr>
          <w:sz w:val="26"/>
          <w:szCs w:val="26"/>
        </w:rPr>
        <w:t xml:space="preserve">я на аналитическом счете Заявителя в момент подачи заявки на участие в аукционе, при условии наличия на нем соответствующей суммы свободных денежных средств.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2"/>
          <w:b w:val="0"/>
          <w:bCs w:val="0"/>
        </w:rPr>
      </w:pPr>
      <w:r>
        <w:rPr>
          <w:sz w:val="26"/>
          <w:szCs w:val="26"/>
        </w:rPr>
        <w:t xml:space="preserve">Списание средств гарантийного обеспечения оплаты оказания услуг осуществляется с аналитического счета того участника, в отношении которого применимо одно из следующих условий: если с участником, который определен как лицо, с которым может быть заключен дог</w:t>
      </w:r>
      <w:r>
        <w:rPr>
          <w:sz w:val="26"/>
          <w:szCs w:val="26"/>
        </w:rPr>
        <w:t xml:space="preserve">овор (победитель), заключен договор или участник признан уклонившимся от заключения договора – в течение одного рабочего дня с момента заключения с таким участником договора на электронной площадке или опубликования на электронной площадке сведений о заклю</w:t>
      </w:r>
      <w:r>
        <w:rPr>
          <w:sz w:val="26"/>
          <w:szCs w:val="26"/>
        </w:rPr>
        <w:t xml:space="preserve">чении договора с таким участником или опубликования на электронной площадке акта (протокола) о признании такого участника уклонившимся от заключения договора.</w:t>
      </w:r>
      <w:r>
        <w:rPr>
          <w:rStyle w:val="932"/>
          <w:b w:val="0"/>
          <w:bCs w:val="0"/>
        </w:rPr>
      </w:r>
      <w:r>
        <w:rPr>
          <w:rStyle w:val="932"/>
          <w:b w:val="0"/>
          <w:bCs w:val="0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2"/>
          <w:sz w:val="26"/>
          <w:szCs w:val="26"/>
        </w:rPr>
      </w:pPr>
      <w:r>
        <w:rPr>
          <w:rStyle w:val="932"/>
          <w:sz w:val="26"/>
          <w:szCs w:val="26"/>
        </w:rPr>
        <w:t xml:space="preserve">Заключение договора</w:t>
      </w:r>
      <w:r>
        <w:t xml:space="preserve"> </w:t>
      </w:r>
      <w:r>
        <w:rPr>
          <w:rStyle w:val="932"/>
          <w:sz w:val="26"/>
          <w:szCs w:val="26"/>
        </w:rPr>
        <w:t xml:space="preserve">в электронной форме:</w:t>
      </w:r>
      <w:r>
        <w:rPr>
          <w:rStyle w:val="932"/>
          <w:sz w:val="26"/>
          <w:szCs w:val="26"/>
        </w:rPr>
      </w:r>
      <w:r>
        <w:rPr>
          <w:rStyle w:val="932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Для заключения договора в электронной форме покупатель/а</w:t>
      </w:r>
      <w:r>
        <w:rPr>
          <w:rStyle w:val="932"/>
          <w:b w:val="0"/>
          <w:sz w:val="26"/>
          <w:szCs w:val="26"/>
        </w:rPr>
        <w:t xml:space="preserve">рендатор должен быть зарегистрирован в ГИС Торги в качестве участника торгов.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2"/>
          <w:sz w:val="26"/>
          <w:szCs w:val="26"/>
        </w:rPr>
        <w:t xml:space="preserve">Начальная цена предмета аукциона: </w:t>
      </w:r>
      <w:r>
        <w:rPr>
          <w:rStyle w:val="932"/>
          <w:b w:val="0"/>
          <w:sz w:val="26"/>
          <w:szCs w:val="26"/>
        </w:rPr>
        <w:t xml:space="preserve">124 000 (сто двадцать четыре тысячи)</w:t>
      </w:r>
      <w:r>
        <w:rPr>
          <w:rStyle w:val="932"/>
          <w:b w:val="0"/>
          <w:sz w:val="26"/>
          <w:szCs w:val="26"/>
        </w:rPr>
        <w:t xml:space="preserve"> рублей 00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Шаг аукциона: </w:t>
      </w:r>
      <w:r>
        <w:rPr>
          <w:sz w:val="26"/>
          <w:szCs w:val="26"/>
        </w:rPr>
        <w:t xml:space="preserve">6 200 (шесть тысячи двести)</w:t>
      </w:r>
      <w:r>
        <w:rPr>
          <w:sz w:val="26"/>
          <w:szCs w:val="26"/>
        </w:rPr>
        <w:t xml:space="preserve"> рублей 00 копеек.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sz w:val="26"/>
          <w:szCs w:val="26"/>
        </w:rPr>
        <w:t xml:space="preserve"> в соответствии с Правилами землепользования и застройки Кубовинского</w:t>
      </w:r>
      <w:r>
        <w:rPr>
          <w:sz w:val="26"/>
          <w:szCs w:val="26"/>
        </w:rPr>
        <w:t xml:space="preserve"> сельсовета Новосибирс</w:t>
      </w:r>
      <w:r>
        <w:rPr>
          <w:sz w:val="26"/>
          <w:szCs w:val="26"/>
        </w:rPr>
        <w:t xml:space="preserve">кого района Новосибирской области утвержденными приказом министерства строительства Новосибирской области 14.04.2021 № 232 (ред. от 19.12.2025):</w:t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территориальная зона/вида разрешенного</w:t>
            </w:r>
            <w:r/>
          </w:p>
          <w:p>
            <w:pPr>
              <w:jc w:val="center"/>
            </w:pPr>
            <w:r>
              <w:t xml:space="preserve">использования (код вида)</w:t>
            </w:r>
            <w:r/>
          </w:p>
        </w:tc>
        <w:tc>
          <w:tcPr>
            <w:gridSpan w:val="7"/>
            <w:shd w:val="clear" w:color="auto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/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min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max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Отступ  </w:t>
            </w:r>
            <w:r>
              <w:t xml:space="preserve">min</w:t>
            </w:r>
            <w:r>
              <w:t xml:space="preserve">, (м)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min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max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min</w:t>
            </w:r>
            <w:r>
              <w:t xml:space="preserve">, (%)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max</w:t>
            </w:r>
            <w:r>
              <w:t xml:space="preserve">, (%)</w:t>
            </w:r>
            <w:r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55"/>
            </w:pPr>
            <w:r>
              <w:rPr>
                <w:color w:val="auto"/>
              </w:rPr>
              <w:t xml:space="preserve">ведение садоводства (13.2)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pStyle w:val="9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pStyle w:val="9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0,12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pStyle w:val="9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Информация о возможности подключения (технологического </w:t>
      </w:r>
      <w:r>
        <w:rPr>
          <w:b/>
          <w:bCs/>
          <w:sz w:val="26"/>
          <w:szCs w:val="26"/>
        </w:rPr>
        <w:t xml:space="preserve">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водоснабжения (холодное) – </w:t>
      </w:r>
      <w:r>
        <w:rPr>
          <w:bCs/>
          <w:sz w:val="26"/>
          <w:szCs w:val="26"/>
        </w:rPr>
        <w:t xml:space="preserve">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водоотведения – </w:t>
      </w:r>
      <w:r>
        <w:rPr>
          <w:bCs/>
          <w:sz w:val="26"/>
          <w:szCs w:val="26"/>
        </w:rPr>
        <w:t xml:space="preserve">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теплоснабжения – 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Газоснабжение – </w:t>
      </w:r>
      <w:r>
        <w:rPr>
          <w:bCs/>
          <w:sz w:val="26"/>
          <w:szCs w:val="26"/>
        </w:rPr>
        <w:t xml:space="preserve">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rStyle w:val="932"/>
          <w:b w:val="0"/>
          <w:sz w:val="26"/>
          <w:szCs w:val="26"/>
        </w:rPr>
        <w:t xml:space="preserve"> 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</w:pPr>
      <w:r>
        <w:rPr>
          <w:rStyle w:val="932"/>
          <w:sz w:val="26"/>
          <w:szCs w:val="26"/>
        </w:rPr>
        <w:t xml:space="preserve">Место приема заяв</w:t>
      </w:r>
      <w:r>
        <w:rPr>
          <w:rStyle w:val="932"/>
          <w:sz w:val="26"/>
          <w:szCs w:val="26"/>
        </w:rPr>
        <w:t xml:space="preserve">ок на участие в аукционе</w:t>
      </w:r>
      <w:r>
        <w:rPr>
          <w:rStyle w:val="932"/>
          <w:b w:val="0"/>
          <w:sz w:val="26"/>
          <w:szCs w:val="26"/>
        </w:rPr>
        <w:t xml:space="preserve">: 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sz w:val="26"/>
          <w:szCs w:val="26"/>
        </w:rPr>
        <w:t xml:space="preserve">.</w:t>
      </w:r>
      <w:r>
        <w:rPr>
          <w:rStyle w:val="932"/>
          <w:b w:val="0"/>
          <w:sz w:val="26"/>
          <w:szCs w:val="26"/>
        </w:rPr>
        <w:t xml:space="preserve"> 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</w:pPr>
      <w:r>
        <w:rPr>
          <w:rStyle w:val="932"/>
          <w:sz w:val="26"/>
          <w:szCs w:val="26"/>
        </w:rPr>
        <w:t xml:space="preserve">Дата и время начала приема заявок:</w:t>
      </w:r>
      <w:r>
        <w:rPr>
          <w:rStyle w:val="932"/>
          <w:b w:val="0"/>
          <w:sz w:val="26"/>
          <w:szCs w:val="26"/>
        </w:rPr>
        <w:t xml:space="preserve">  30 июня 2026</w:t>
      </w:r>
      <w:r>
        <w:rPr>
          <w:rStyle w:val="932"/>
          <w:b w:val="0"/>
          <w:sz w:val="26"/>
          <w:szCs w:val="26"/>
        </w:rPr>
        <w:t xml:space="preserve"> года в 00-00 по местному времени. Прием заявок осуществляется круглосуточно.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</w:pPr>
      <w:r>
        <w:rPr>
          <w:rStyle w:val="932"/>
          <w:sz w:val="26"/>
          <w:szCs w:val="26"/>
        </w:rPr>
        <w:t xml:space="preserve">Дата и время окончания приема заявок:</w:t>
      </w:r>
      <w:r>
        <w:rPr>
          <w:rStyle w:val="932"/>
          <w:b w:val="0"/>
          <w:sz w:val="26"/>
          <w:szCs w:val="26"/>
        </w:rPr>
        <w:t xml:space="preserve"> 16 июля 2026 года до 23-00</w:t>
      </w:r>
      <w:r>
        <w:rPr>
          <w:rStyle w:val="932"/>
          <w:b w:val="0"/>
          <w:sz w:val="26"/>
          <w:szCs w:val="26"/>
        </w:rPr>
        <w:t xml:space="preserve"> по местному времени.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Дата </w:t>
      </w:r>
      <w:r>
        <w:rPr>
          <w:rStyle w:val="932"/>
          <w:sz w:val="26"/>
          <w:szCs w:val="26"/>
        </w:rPr>
        <w:t xml:space="preserve">определения участников аукциона:</w:t>
      </w:r>
      <w:r>
        <w:rPr>
          <w:rStyle w:val="932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20 июля 2026 года.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</w:t>
      </w:r>
      <w:r>
        <w:rPr>
          <w:sz w:val="26"/>
          <w:szCs w:val="26"/>
        </w:rPr>
        <w:t xml:space="preserve">ор аукциона принимает решение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</w:t>
      </w:r>
      <w:r>
        <w:rPr>
          <w:sz w:val="26"/>
          <w:szCs w:val="26"/>
        </w:rPr>
        <w:t xml:space="preserve">окола рассмотрения заявок.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keepNext/>
        <w:rPr>
          <w:rStyle w:val="932"/>
          <w:b w:val="0"/>
          <w:sz w:val="26"/>
          <w:szCs w:val="26"/>
        </w:rPr>
      </w:pPr>
      <w:r>
        <w:rPr>
          <w:b/>
          <w:sz w:val="26"/>
          <w:szCs w:val="26"/>
        </w:rPr>
        <w:t xml:space="preserve">Дата, время и место проведения аукциона: </w:t>
      </w:r>
      <w:r>
        <w:rPr>
          <w:rStyle w:val="932"/>
          <w:b w:val="0"/>
          <w:sz w:val="26"/>
          <w:szCs w:val="26"/>
        </w:rPr>
        <w:t xml:space="preserve">22 июля 2026 года в 10:00 по местному времени электронная площадка </w:t>
      </w:r>
      <w:r>
        <w:rPr>
          <w:color w:val="0000ff"/>
          <w:sz w:val="26"/>
          <w:szCs w:val="26"/>
        </w:rPr>
        <w:t xml:space="preserve">https://www.rts-tender.ru/property-sales.</w:t>
      </w:r>
      <w:r>
        <w:rPr>
          <w:rStyle w:val="932"/>
          <w:b w:val="0"/>
          <w:sz w:val="26"/>
          <w:szCs w:val="26"/>
        </w:rPr>
        <w:t xml:space="preserve"> 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2"/>
          <w:b w:val="0"/>
          <w:sz w:val="26"/>
          <w:szCs w:val="26"/>
        </w:rPr>
      </w:pPr>
      <w:r>
        <w:rPr>
          <w:rStyle w:val="932"/>
          <w:sz w:val="26"/>
          <w:szCs w:val="26"/>
        </w:rPr>
        <w:t xml:space="preserve">Дата подведения итогов аукциона:</w:t>
      </w:r>
      <w:r>
        <w:rPr>
          <w:rStyle w:val="932"/>
          <w:b w:val="0"/>
          <w:sz w:val="26"/>
          <w:szCs w:val="26"/>
        </w:rPr>
        <w:t xml:space="preserve"> 22 июля 2026 года.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2"/>
          <w:sz w:val="26"/>
          <w:szCs w:val="26"/>
        </w:rPr>
        <w:outlineLvl w:val="0"/>
      </w:pPr>
      <w:r>
        <w:rPr>
          <w:rStyle w:val="932"/>
          <w:sz w:val="26"/>
          <w:szCs w:val="26"/>
        </w:rPr>
        <w:t xml:space="preserve">Перечень документов,</w:t>
      </w:r>
      <w:r>
        <w:rPr>
          <w:rStyle w:val="932"/>
          <w:sz w:val="26"/>
          <w:szCs w:val="26"/>
        </w:rPr>
        <w:t xml:space="preserve"> представляемых для участия в аукционе: </w:t>
      </w:r>
      <w:r>
        <w:rPr>
          <w:rStyle w:val="932"/>
          <w:sz w:val="26"/>
          <w:szCs w:val="26"/>
        </w:rPr>
      </w:r>
      <w:r>
        <w:rPr>
          <w:rStyle w:val="932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2"/>
          <w:b w:val="0"/>
          <w:bCs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32"/>
          <w:b w:val="0"/>
          <w:bCs w:val="0"/>
          <w:sz w:val="26"/>
          <w:szCs w:val="26"/>
        </w:rPr>
      </w:r>
      <w:r>
        <w:rPr>
          <w:rStyle w:val="932"/>
          <w:b w:val="0"/>
          <w:bCs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документы, подтверждающие внесение задатка.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32"/>
          <w:b w:val="0"/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2"/>
          <w:b w:val="0"/>
          <w:sz w:val="26"/>
          <w:szCs w:val="26"/>
        </w:rPr>
      </w:pPr>
      <w:r>
        <w:rPr>
          <w:rStyle w:val="932"/>
          <w:sz w:val="26"/>
          <w:szCs w:val="26"/>
        </w:rPr>
        <w:t xml:space="preserve">Размер задатка: </w:t>
      </w:r>
      <w:r>
        <w:rPr>
          <w:rStyle w:val="932"/>
          <w:b w:val="0"/>
          <w:sz w:val="26"/>
          <w:szCs w:val="26"/>
        </w:rPr>
        <w:t xml:space="preserve">124 000 (сто двадцать четыре тысячи)</w:t>
      </w:r>
      <w:r>
        <w:rPr>
          <w:rStyle w:val="932"/>
          <w:b w:val="0"/>
          <w:sz w:val="26"/>
          <w:szCs w:val="26"/>
        </w:rPr>
        <w:t xml:space="preserve"> рублей 00 копеек.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  <w:outlineLvl w:val="0"/>
      </w:pPr>
      <w:r>
        <w:rPr>
          <w:rStyle w:val="932"/>
          <w:b w:val="0"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  <w:outlineLvl w:val="0"/>
      </w:pPr>
      <w:r>
        <w:rPr>
          <w:rStyle w:val="932"/>
          <w:b w:val="0"/>
          <w:sz w:val="26"/>
          <w:szCs w:val="26"/>
        </w:rPr>
        <w:t xml:space="preserve">Департамент имущества и земельных отношений Новосибирской области (л/с 190010013). Получатель: </w:t>
      </w:r>
      <w:r>
        <w:rPr>
          <w:rStyle w:val="932"/>
          <w:b w:val="0"/>
          <w:sz w:val="26"/>
          <w:szCs w:val="26"/>
        </w:rPr>
        <w:t xml:space="preserve">МФиНП</w:t>
      </w:r>
      <w:r>
        <w:rPr>
          <w:rStyle w:val="932"/>
          <w:b w:val="0"/>
          <w:sz w:val="26"/>
          <w:szCs w:val="26"/>
        </w:rPr>
        <w:t xml:space="preserve"> НСО (ДИиЗО НСО, л/с190010013), ИНН </w:t>
      </w:r>
      <w:r>
        <w:rPr>
          <w:rStyle w:val="932"/>
          <w:b w:val="0"/>
          <w:sz w:val="26"/>
          <w:szCs w:val="26"/>
        </w:rPr>
        <w:t xml:space="preserve">5406214965 / КПП 540601001, ОКЦ №1 Сибирское ГУ Банка России//УФК по Новосибирской области </w:t>
      </w:r>
      <w:r>
        <w:rPr>
          <w:rStyle w:val="932"/>
          <w:b w:val="0"/>
          <w:sz w:val="26"/>
          <w:szCs w:val="26"/>
        </w:rPr>
        <w:t xml:space="preserve">г.Новосибирск</w:t>
      </w:r>
      <w:r>
        <w:rPr>
          <w:rStyle w:val="932"/>
          <w:b w:val="0"/>
          <w:sz w:val="26"/>
          <w:szCs w:val="26"/>
        </w:rPr>
        <w:t xml:space="preserve">, БИК 015004950, р/с 40102810445370000043, л/с 03222643500000005100, ОКТМО 50701000, КБК 00000000000000000510.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  <w:outlineLvl w:val="0"/>
      </w:pPr>
      <w:r>
        <w:rPr>
          <w:rStyle w:val="932"/>
          <w:b w:val="0"/>
          <w:sz w:val="26"/>
          <w:szCs w:val="26"/>
        </w:rPr>
        <w:t xml:space="preserve">Назначение платежа: задаток для участия в аукцио</w:t>
      </w:r>
      <w:r>
        <w:rPr>
          <w:rStyle w:val="932"/>
          <w:b w:val="0"/>
          <w:sz w:val="26"/>
          <w:szCs w:val="26"/>
        </w:rPr>
        <w:t xml:space="preserve">не ДИиЗО НСО, земельный участок с кадастровым номером 54:19:093502:10373.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  <w:outlineLvl w:val="0"/>
      </w:pPr>
      <w:r>
        <w:rPr>
          <w:rStyle w:val="932"/>
          <w:b w:val="0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</w:t>
      </w:r>
      <w:r>
        <w:rPr>
          <w:rStyle w:val="932"/>
          <w:b w:val="0"/>
          <w:sz w:val="26"/>
          <w:szCs w:val="26"/>
        </w:rPr>
        <w:t xml:space="preserve">ельного кодекса Российской Федерации.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  <w:outlineLvl w:val="0"/>
      </w:pPr>
      <w:r>
        <w:rPr>
          <w:rStyle w:val="932"/>
          <w:b w:val="0"/>
          <w:sz w:val="26"/>
          <w:szCs w:val="26"/>
        </w:rPr>
        <w:t xml:space="preserve">Возврат задатка производится организатором аукциона по реквизитам, указанным в заявке на участие в аукционе, в следующих случаях: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  <w:outlineLvl w:val="0"/>
      </w:pPr>
      <w:r>
        <w:rPr>
          <w:rStyle w:val="932"/>
          <w:b w:val="0"/>
          <w:sz w:val="26"/>
          <w:szCs w:val="26"/>
        </w:rPr>
        <w:t xml:space="preserve">в случае, если заявитель отозвал заявку на участие в аукционе до дня окончания срока при</w:t>
      </w:r>
      <w:r>
        <w:rPr>
          <w:rStyle w:val="932"/>
          <w:b w:val="0"/>
          <w:sz w:val="26"/>
          <w:szCs w:val="26"/>
        </w:rPr>
        <w:t xml:space="preserve">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  <w:outlineLvl w:val="0"/>
      </w:pPr>
      <w:r>
        <w:rPr>
          <w:rStyle w:val="932"/>
          <w:b w:val="0"/>
          <w:sz w:val="26"/>
          <w:szCs w:val="26"/>
        </w:rPr>
        <w:t xml:space="preserve">в случае, если заявитель не допущен к</w:t>
      </w:r>
      <w:r>
        <w:rPr>
          <w:rStyle w:val="932"/>
          <w:b w:val="0"/>
          <w:sz w:val="26"/>
          <w:szCs w:val="26"/>
        </w:rPr>
        <w:t xml:space="preserve">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  <w:outlineLvl w:val="0"/>
      </w:pPr>
      <w:r>
        <w:rPr>
          <w:rStyle w:val="932"/>
          <w:b w:val="0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аукциона, з</w:t>
      </w:r>
      <w:r>
        <w:rPr>
          <w:rStyle w:val="932"/>
          <w:b w:val="0"/>
          <w:sz w:val="26"/>
          <w:szCs w:val="26"/>
        </w:rPr>
        <w:t xml:space="preserve">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sz w:val="26"/>
          <w:szCs w:val="26"/>
        </w:rPr>
        <w:outlineLvl w:val="0"/>
      </w:pPr>
      <w:r>
        <w:rPr>
          <w:rStyle w:val="932"/>
          <w:b w:val="0"/>
          <w:sz w:val="26"/>
          <w:szCs w:val="26"/>
        </w:rPr>
        <w:t xml:space="preserve">в слу</w:t>
      </w:r>
      <w:r>
        <w:rPr>
          <w:rStyle w:val="932"/>
          <w:b w:val="0"/>
          <w:sz w:val="26"/>
          <w:szCs w:val="26"/>
        </w:rPr>
        <w:t xml:space="preserve">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32"/>
          <w:b w:val="0"/>
          <w:sz w:val="26"/>
          <w:szCs w:val="26"/>
        </w:rPr>
      </w:r>
      <w:r>
        <w:rPr>
          <w:rStyle w:val="932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</w:t>
      </w:r>
      <w:r>
        <w:rPr>
          <w:sz w:val="26"/>
          <w:szCs w:val="26"/>
        </w:rPr>
        <w:t xml:space="preserve">инственному заявителю, признанному участником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единственному принявшему участие в аукционе участнику;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участнику, признанному победителем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</w:t>
      </w:r>
      <w:r>
        <w:rPr>
          <w:sz w:val="26"/>
          <w:szCs w:val="26"/>
        </w:rPr>
        <w:t xml:space="preserve">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2"/>
          <w:sz w:val="26"/>
          <w:szCs w:val="26"/>
        </w:rPr>
      </w:pPr>
      <w:r>
        <w:rPr>
          <w:rStyle w:val="932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932"/>
          <w:sz w:val="26"/>
          <w:szCs w:val="26"/>
        </w:rPr>
        <w:t xml:space="preserve">о существенных условиях дог</w:t>
      </w:r>
      <w:r>
        <w:rPr>
          <w:rStyle w:val="932"/>
          <w:sz w:val="26"/>
          <w:szCs w:val="26"/>
        </w:rPr>
        <w:t xml:space="preserve">овора аренды земельного участка: </w:t>
      </w:r>
      <w:r>
        <w:rPr>
          <w:rStyle w:val="932"/>
          <w:sz w:val="26"/>
          <w:szCs w:val="26"/>
        </w:rPr>
      </w:r>
      <w:r>
        <w:rPr>
          <w:rStyle w:val="932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sz w:val="26"/>
          <w:szCs w:val="26"/>
        </w:rPr>
        <w:t xml:space="preserve">устанавливается по итогам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bCs/>
          <w:i/>
          <w:iCs/>
          <w:sz w:val="26"/>
          <w:szCs w:val="26"/>
        </w:rPr>
        <w:t xml:space="preserve">1</w:t>
      </w:r>
      <w:r>
        <w:rPr>
          <w:b/>
          <w:i/>
          <w:sz w:val="26"/>
          <w:szCs w:val="26"/>
        </w:rPr>
        <w:t xml:space="preserve">0 (десять) лет</w:t>
      </w:r>
      <w:r>
        <w:rPr>
          <w:sz w:val="26"/>
          <w:szCs w:val="26"/>
        </w:rPr>
        <w:t xml:space="preserve"> с даты</w:t>
      </w:r>
      <w:r>
        <w:rPr>
          <w:bCs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32"/>
          <w:b w:val="0"/>
          <w:bCs w:val="0"/>
        </w:rPr>
      </w:pPr>
      <w:r>
        <w:rPr>
          <w:rStyle w:val="932"/>
          <w:b w:val="0"/>
          <w:bCs w:val="0"/>
        </w:rPr>
        <w:t xml:space="preserve">арендная плата вносится ежеквартально равными частями не позднее первого числа квартала, следующего за расчетным периодом.</w:t>
      </w:r>
      <w:r>
        <w:rPr>
          <w:rStyle w:val="932"/>
          <w:b w:val="0"/>
          <w:bCs w:val="0"/>
        </w:rPr>
      </w:r>
      <w:r>
        <w:rPr>
          <w:rStyle w:val="932"/>
          <w:b w:val="0"/>
          <w:bCs w:val="0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</w:t>
      </w:r>
      <w:r>
        <w:rPr>
          <w:sz w:val="26"/>
          <w:szCs w:val="26"/>
        </w:rPr>
        <w:t xml:space="preserve">тронного аукциона не допускается заключение договора аренды земельного 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</w:t>
      </w:r>
      <w:r>
        <w:rPr>
          <w:sz w:val="26"/>
          <w:szCs w:val="26"/>
        </w:rPr>
        <w:t xml:space="preserve">отокола о результатах электронного аукциона размещен на официальном сайте.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sz w:val="26"/>
            <w:szCs w:val="26"/>
          </w:rPr>
          <w:t xml:space="preserve">пунктом 11</w:t>
        </w:r>
      </w:hyperlink>
      <w:r>
        <w:rPr>
          <w:sz w:val="26"/>
          <w:szCs w:val="26"/>
        </w:rPr>
        <w:t xml:space="preserve"> статьи 39.13, направить победителю электронного аукциона или иным лицам, с которыми заключается договор аренды земельного участка, подписанный проект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договор аренды земель</w:t>
      </w:r>
      <w:r>
        <w:rPr>
          <w:sz w:val="26"/>
          <w:szCs w:val="26"/>
        </w:rPr>
        <w:t xml:space="preserve">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</w:t>
      </w:r>
      <w:r>
        <w:rPr>
          <w:bCs/>
          <w:sz w:val="26"/>
          <w:szCs w:val="26"/>
        </w:rPr>
        <w:t xml:space="preserve">удет им подписан и представлен в департамент имущества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</w:t>
      </w:r>
      <w:r>
        <w:rPr>
          <w:bCs/>
          <w:sz w:val="26"/>
          <w:szCs w:val="26"/>
        </w:rPr>
        <w:t xml:space="preserve">по цене, предложенной таким участником аукциона.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</w:t>
      </w:r>
      <w:r>
        <w:rPr>
          <w:bCs/>
          <w:sz w:val="26"/>
          <w:szCs w:val="26"/>
        </w:rPr>
        <w:t xml:space="preserve">к не представил в уполномоченный орган подписанные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</w:t>
      </w:r>
      <w:r>
        <w:rPr>
          <w:sz w:val="26"/>
          <w:szCs w:val="26"/>
        </w:rPr>
        <w:t xml:space="preserve">го участка </w:t>
      </w:r>
      <w:r>
        <w:rPr>
          <w:bCs/>
          <w:sz w:val="26"/>
          <w:szCs w:val="26"/>
        </w:rPr>
        <w:t xml:space="preserve">заявителями осуществляется самостоятельно.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официальном сайте торгов Российской Федерации </w:t>
      </w:r>
      <w:hyperlink r:id="rId19" w:tooltip="http://www.torgi.gov.ru" w:history="1">
        <w:r>
          <w:rPr>
            <w:rStyle w:val="940"/>
            <w:sz w:val="26"/>
            <w:szCs w:val="26"/>
            <w:lang w:val="en-US"/>
          </w:rPr>
          <w:t xml:space="preserve">www</w:t>
        </w:r>
        <w:r>
          <w:rPr>
            <w:rStyle w:val="940"/>
            <w:sz w:val="26"/>
            <w:szCs w:val="26"/>
          </w:rPr>
          <w:t xml:space="preserve">.</w:t>
        </w:r>
        <w:r>
          <w:rPr>
            <w:rStyle w:val="940"/>
            <w:sz w:val="26"/>
            <w:szCs w:val="26"/>
            <w:lang w:val="en-US"/>
          </w:rPr>
          <w:t xml:space="preserve">torgi</w:t>
        </w:r>
        <w:r>
          <w:rPr>
            <w:rStyle w:val="940"/>
            <w:sz w:val="26"/>
            <w:szCs w:val="26"/>
          </w:rPr>
          <w:t xml:space="preserve">.</w:t>
        </w:r>
        <w:r>
          <w:rPr>
            <w:rStyle w:val="940"/>
            <w:sz w:val="26"/>
            <w:szCs w:val="26"/>
            <w:lang w:val="en-US"/>
          </w:rPr>
          <w:t xml:space="preserve">gov</w:t>
        </w:r>
        <w:r>
          <w:rPr>
            <w:rStyle w:val="940"/>
            <w:sz w:val="26"/>
            <w:szCs w:val="26"/>
          </w:rPr>
          <w:t xml:space="preserve">.</w:t>
        </w:r>
        <w:r>
          <w:rPr>
            <w:rStyle w:val="940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официальном сайте департаме</w:t>
      </w:r>
      <w:r>
        <w:rPr>
          <w:sz w:val="26"/>
          <w:szCs w:val="26"/>
        </w:rPr>
        <w:t xml:space="preserve">нта имущества и земельных отношений Новосибирской области www.dizo.nso.ru.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2"/>
          <w:b w:val="0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32"/>
          <w:b w:val="0"/>
          <w:sz w:val="26"/>
          <w:szCs w:val="26"/>
        </w:rPr>
        <w:t xml:space="preserve"> п</w:t>
      </w:r>
      <w:r>
        <w:rPr>
          <w:rStyle w:val="932"/>
          <w:b w:val="0"/>
          <w:sz w:val="26"/>
          <w:szCs w:val="26"/>
        </w:rPr>
        <w:t xml:space="preserve">ринимает решение об отказе в проведении аукциона.</w:t>
      </w:r>
      <w:r>
        <w:rPr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20" w:tooltip="http://www.torgi.gov.ru" w:history="1">
        <w:r>
          <w:rPr>
            <w:rStyle w:val="940"/>
            <w:sz w:val="26"/>
            <w:szCs w:val="26"/>
            <w:lang w:val="en-US"/>
          </w:rPr>
          <w:t xml:space="preserve">www</w:t>
        </w:r>
        <w:r>
          <w:rPr>
            <w:rStyle w:val="940"/>
            <w:sz w:val="26"/>
            <w:szCs w:val="26"/>
          </w:rPr>
          <w:t xml:space="preserve">.</w:t>
        </w:r>
        <w:r>
          <w:rPr>
            <w:rStyle w:val="940"/>
            <w:sz w:val="26"/>
            <w:szCs w:val="26"/>
            <w:lang w:val="en-US"/>
          </w:rPr>
          <w:t xml:space="preserve">torgi</w:t>
        </w:r>
        <w:r>
          <w:rPr>
            <w:rStyle w:val="940"/>
            <w:sz w:val="26"/>
            <w:szCs w:val="26"/>
          </w:rPr>
          <w:t xml:space="preserve">.</w:t>
        </w:r>
        <w:r>
          <w:rPr>
            <w:rStyle w:val="940"/>
            <w:sz w:val="26"/>
            <w:szCs w:val="26"/>
            <w:lang w:val="en-US"/>
          </w:rPr>
          <w:t xml:space="preserve">gov</w:t>
        </w:r>
        <w:r>
          <w:rPr>
            <w:rStyle w:val="940"/>
            <w:sz w:val="26"/>
            <w:szCs w:val="26"/>
          </w:rPr>
          <w:t xml:space="preserve">.</w:t>
        </w:r>
        <w:r>
          <w:rPr>
            <w:rStyle w:val="940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в течение трех дн</w:t>
      </w:r>
      <w:r>
        <w:rPr>
          <w:sz w:val="26"/>
          <w:szCs w:val="26"/>
        </w:rPr>
        <w:t xml:space="preserve">ей со дня принятия данного решения.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Приложением к настоящему извещению является: форма заявки на участие в аукционе, </w:t>
      </w:r>
      <w:r>
        <w:rPr>
          <w:sz w:val="26"/>
          <w:szCs w:val="26"/>
        </w:rPr>
        <w:t xml:space="preserve">проект договора аренды земельного участка.</w:t>
      </w:r>
      <w:r>
        <w:rPr>
          <w:rStyle w:val="932"/>
          <w:b w:val="0"/>
          <w:bCs w:val="0"/>
          <w:sz w:val="26"/>
          <w:szCs w:val="26"/>
        </w:rPr>
      </w:r>
      <w:r>
        <w:rPr>
          <w:rStyle w:val="932"/>
          <w:b w:val="0"/>
          <w:bCs w:val="0"/>
          <w:sz w:val="26"/>
          <w:szCs w:val="26"/>
        </w:rPr>
      </w:r>
    </w:p>
    <w:p>
      <w:pPr>
        <w:ind w:firstLine="709"/>
        <w:jc w:val="both"/>
        <w:rPr>
          <w:rStyle w:val="932"/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rStyle w:val="932"/>
          <w:b w:val="0"/>
          <w:bCs w:val="0"/>
          <w:sz w:val="26"/>
          <w:szCs w:val="26"/>
        </w:rPr>
      </w:r>
      <w:r>
        <w:rPr>
          <w:rStyle w:val="932"/>
          <w:b w:val="0"/>
          <w:bCs w:val="0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14</w:t>
    </w:r>
    <w:r>
      <w:fldChar w:fldCharType="end"/>
    </w:r>
    <w:r/>
  </w:p>
  <w:p>
    <w:pPr>
      <w:pStyle w:val="935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rPr>
        <w:rStyle w:val="936"/>
      </w:rPr>
      <w:framePr w:wrap="around" w:vAnchor="text" w:hAnchor="margin" w:xAlign="right" w:y="1"/>
    </w:pPr>
    <w:r>
      <w:rPr>
        <w:rStyle w:val="936"/>
      </w:rPr>
      <w:fldChar w:fldCharType="begin"/>
    </w:r>
    <w:r>
      <w:rPr>
        <w:rStyle w:val="936"/>
      </w:rPr>
      <w:instrText xml:space="preserve">PAGE  </w:instrText>
    </w:r>
    <w:r>
      <w:rPr>
        <w:rStyle w:val="936"/>
      </w:rPr>
      <w:fldChar w:fldCharType="end"/>
    </w:r>
    <w:r>
      <w:rPr>
        <w:rStyle w:val="936"/>
      </w:rPr>
    </w:r>
    <w:r>
      <w:rPr>
        <w:rStyle w:val="936"/>
      </w:rPr>
    </w:r>
  </w:p>
  <w:p>
    <w:pPr>
      <w:pStyle w:val="935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2"/>
  </w:num>
  <w:num w:numId="12">
    <w:abstractNumId w:val="10"/>
  </w:num>
  <w:num w:numId="13">
    <w:abstractNumId w:val="7"/>
  </w:num>
  <w:num w:numId="14">
    <w:abstractNumId w:val="10"/>
  </w:num>
  <w:num w:numId="15">
    <w:abstractNumId w:val="4"/>
  </w:num>
  <w:num w:numId="16">
    <w:abstractNumId w:val="7"/>
  </w:num>
  <w:num w:numId="17">
    <w:abstractNumId w:val="10"/>
  </w:num>
  <w:num w:numId="18">
    <w:abstractNumId w:val="4"/>
  </w:num>
  <w:num w:numId="19">
    <w:abstractNumId w:val="7"/>
  </w:num>
  <w:num w:numId="20">
    <w:abstractNumId w:val="10"/>
  </w:num>
  <w:num w:numId="21">
    <w:abstractNumId w:val="4"/>
  </w:num>
  <w:num w:numId="22">
    <w:abstractNumId w:val="8"/>
  </w:num>
  <w:num w:numId="23">
    <w:abstractNumId w:val="13"/>
  </w:num>
  <w:num w:numId="24">
    <w:abstractNumId w:val="14"/>
  </w:num>
  <w:num w:numId="25">
    <w:abstractNumId w:val="1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3">
    <w:name w:val="Heading 1 Char"/>
    <w:basedOn w:val="767"/>
    <w:link w:val="758"/>
    <w:uiPriority w:val="9"/>
    <w:rPr>
      <w:rFonts w:ascii="Arial" w:hAnsi="Arial" w:eastAsia="Arial" w:cs="Arial"/>
      <w:sz w:val="40"/>
      <w:szCs w:val="40"/>
    </w:rPr>
  </w:style>
  <w:style w:type="character" w:styleId="744">
    <w:name w:val="Heading 2 Char"/>
    <w:basedOn w:val="767"/>
    <w:link w:val="759"/>
    <w:uiPriority w:val="9"/>
    <w:rPr>
      <w:rFonts w:ascii="Arial" w:hAnsi="Arial" w:eastAsia="Arial" w:cs="Arial"/>
      <w:sz w:val="34"/>
    </w:rPr>
  </w:style>
  <w:style w:type="character" w:styleId="745">
    <w:name w:val="Heading 3 Char"/>
    <w:basedOn w:val="767"/>
    <w:link w:val="760"/>
    <w:uiPriority w:val="9"/>
    <w:rPr>
      <w:rFonts w:ascii="Arial" w:hAnsi="Arial" w:eastAsia="Arial" w:cs="Arial"/>
      <w:sz w:val="30"/>
      <w:szCs w:val="30"/>
    </w:rPr>
  </w:style>
  <w:style w:type="character" w:styleId="746">
    <w:name w:val="Heading 4 Char"/>
    <w:basedOn w:val="767"/>
    <w:link w:val="761"/>
    <w:uiPriority w:val="9"/>
    <w:rPr>
      <w:rFonts w:ascii="Arial" w:hAnsi="Arial" w:eastAsia="Arial" w:cs="Arial"/>
      <w:b/>
      <w:bCs/>
      <w:sz w:val="26"/>
      <w:szCs w:val="26"/>
    </w:rPr>
  </w:style>
  <w:style w:type="character" w:styleId="747">
    <w:name w:val="Heading 5 Char"/>
    <w:basedOn w:val="767"/>
    <w:link w:val="762"/>
    <w:uiPriority w:val="9"/>
    <w:rPr>
      <w:rFonts w:ascii="Arial" w:hAnsi="Arial" w:eastAsia="Arial" w:cs="Arial"/>
      <w:b/>
      <w:bCs/>
      <w:sz w:val="24"/>
      <w:szCs w:val="24"/>
    </w:rPr>
  </w:style>
  <w:style w:type="character" w:styleId="748">
    <w:name w:val="Heading 6 Char"/>
    <w:basedOn w:val="767"/>
    <w:link w:val="763"/>
    <w:uiPriority w:val="9"/>
    <w:rPr>
      <w:rFonts w:ascii="Arial" w:hAnsi="Arial" w:eastAsia="Arial" w:cs="Arial"/>
      <w:b/>
      <w:bCs/>
      <w:sz w:val="22"/>
      <w:szCs w:val="22"/>
    </w:rPr>
  </w:style>
  <w:style w:type="character" w:styleId="749">
    <w:name w:val="Heading 7 Char"/>
    <w:basedOn w:val="767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0">
    <w:name w:val="Heading 8 Char"/>
    <w:basedOn w:val="767"/>
    <w:link w:val="765"/>
    <w:uiPriority w:val="9"/>
    <w:rPr>
      <w:rFonts w:ascii="Arial" w:hAnsi="Arial" w:eastAsia="Arial" w:cs="Arial"/>
      <w:i/>
      <w:iCs/>
      <w:sz w:val="22"/>
      <w:szCs w:val="22"/>
    </w:rPr>
  </w:style>
  <w:style w:type="character" w:styleId="751">
    <w:name w:val="Heading 9 Char"/>
    <w:basedOn w:val="767"/>
    <w:link w:val="766"/>
    <w:uiPriority w:val="9"/>
    <w:rPr>
      <w:rFonts w:ascii="Arial" w:hAnsi="Arial" w:eastAsia="Arial" w:cs="Arial"/>
      <w:i/>
      <w:iCs/>
      <w:sz w:val="21"/>
      <w:szCs w:val="21"/>
    </w:rPr>
  </w:style>
  <w:style w:type="character" w:styleId="752">
    <w:name w:val="Title Char"/>
    <w:basedOn w:val="767"/>
    <w:link w:val="780"/>
    <w:uiPriority w:val="10"/>
    <w:rPr>
      <w:sz w:val="48"/>
      <w:szCs w:val="48"/>
    </w:rPr>
  </w:style>
  <w:style w:type="character" w:styleId="753">
    <w:name w:val="Subtitle Char"/>
    <w:basedOn w:val="767"/>
    <w:link w:val="782"/>
    <w:uiPriority w:val="11"/>
    <w:rPr>
      <w:sz w:val="24"/>
      <w:szCs w:val="24"/>
    </w:rPr>
  </w:style>
  <w:style w:type="character" w:styleId="754">
    <w:name w:val="Quote Char"/>
    <w:link w:val="784"/>
    <w:uiPriority w:val="29"/>
    <w:rPr>
      <w:i/>
    </w:rPr>
  </w:style>
  <w:style w:type="character" w:styleId="755">
    <w:name w:val="Intense Quote Char"/>
    <w:link w:val="786"/>
    <w:uiPriority w:val="30"/>
    <w:rPr>
      <w:i/>
    </w:rPr>
  </w:style>
  <w:style w:type="character" w:styleId="756">
    <w:name w:val="Endnote Text Char"/>
    <w:link w:val="918"/>
    <w:uiPriority w:val="99"/>
    <w:rPr>
      <w:sz w:val="20"/>
    </w:rPr>
  </w:style>
  <w:style w:type="paragraph" w:styleId="757" w:default="1">
    <w:name w:val="Normal"/>
    <w:qFormat/>
    <w:rPr>
      <w:sz w:val="24"/>
      <w:szCs w:val="24"/>
    </w:rPr>
  </w:style>
  <w:style w:type="paragraph" w:styleId="758">
    <w:name w:val="Heading 1"/>
    <w:basedOn w:val="757"/>
    <w:next w:val="757"/>
    <w:link w:val="77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9">
    <w:name w:val="Heading 2"/>
    <w:basedOn w:val="757"/>
    <w:next w:val="757"/>
    <w:link w:val="7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0">
    <w:name w:val="Heading 3"/>
    <w:basedOn w:val="757"/>
    <w:next w:val="757"/>
    <w:link w:val="77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1">
    <w:name w:val="Heading 4"/>
    <w:basedOn w:val="757"/>
    <w:next w:val="757"/>
    <w:link w:val="7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2">
    <w:name w:val="Heading 5"/>
    <w:basedOn w:val="757"/>
    <w:next w:val="757"/>
    <w:link w:val="7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63">
    <w:name w:val="Heading 6"/>
    <w:basedOn w:val="757"/>
    <w:next w:val="757"/>
    <w:link w:val="7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4">
    <w:name w:val="Heading 7"/>
    <w:basedOn w:val="757"/>
    <w:next w:val="757"/>
    <w:link w:val="7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5">
    <w:name w:val="Heading 8"/>
    <w:basedOn w:val="757"/>
    <w:next w:val="757"/>
    <w:link w:val="7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6">
    <w:name w:val="Heading 9"/>
    <w:basedOn w:val="757"/>
    <w:next w:val="757"/>
    <w:link w:val="7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7" w:default="1">
    <w:name w:val="Default Paragraph Font"/>
    <w:uiPriority w:val="1"/>
    <w:semiHidden/>
    <w:unhideWhenUsed/>
  </w:style>
  <w:style w:type="table" w:styleId="7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9" w:default="1">
    <w:name w:val="No List"/>
    <w:uiPriority w:val="99"/>
    <w:semiHidden/>
    <w:unhideWhenUsed/>
  </w:style>
  <w:style w:type="character" w:styleId="770" w:customStyle="1">
    <w:name w:val="Заголовок 1 Знак"/>
    <w:basedOn w:val="767"/>
    <w:link w:val="758"/>
    <w:uiPriority w:val="9"/>
    <w:rPr>
      <w:rFonts w:ascii="Arial" w:hAnsi="Arial" w:eastAsia="Arial" w:cs="Arial"/>
      <w:sz w:val="40"/>
      <w:szCs w:val="40"/>
    </w:rPr>
  </w:style>
  <w:style w:type="character" w:styleId="771" w:customStyle="1">
    <w:name w:val="Заголовок 2 Знак"/>
    <w:basedOn w:val="767"/>
    <w:link w:val="759"/>
    <w:uiPriority w:val="9"/>
    <w:rPr>
      <w:rFonts w:ascii="Arial" w:hAnsi="Arial" w:eastAsia="Arial" w:cs="Arial"/>
      <w:sz w:val="34"/>
    </w:rPr>
  </w:style>
  <w:style w:type="character" w:styleId="772" w:customStyle="1">
    <w:name w:val="Заголовок 3 Знак"/>
    <w:basedOn w:val="767"/>
    <w:link w:val="760"/>
    <w:uiPriority w:val="9"/>
    <w:rPr>
      <w:rFonts w:ascii="Arial" w:hAnsi="Arial" w:eastAsia="Arial" w:cs="Arial"/>
      <w:sz w:val="30"/>
      <w:szCs w:val="30"/>
    </w:rPr>
  </w:style>
  <w:style w:type="character" w:styleId="773" w:customStyle="1">
    <w:name w:val="Заголовок 4 Знак"/>
    <w:basedOn w:val="767"/>
    <w:link w:val="761"/>
    <w:uiPriority w:val="9"/>
    <w:rPr>
      <w:rFonts w:ascii="Arial" w:hAnsi="Arial" w:eastAsia="Arial" w:cs="Arial"/>
      <w:b/>
      <w:bCs/>
      <w:sz w:val="26"/>
      <w:szCs w:val="26"/>
    </w:rPr>
  </w:style>
  <w:style w:type="character" w:styleId="774" w:customStyle="1">
    <w:name w:val="Заголовок 5 Знак"/>
    <w:basedOn w:val="767"/>
    <w:link w:val="762"/>
    <w:uiPriority w:val="9"/>
    <w:rPr>
      <w:rFonts w:ascii="Arial" w:hAnsi="Arial" w:eastAsia="Arial" w:cs="Arial"/>
      <w:b/>
      <w:bCs/>
      <w:sz w:val="24"/>
      <w:szCs w:val="24"/>
    </w:rPr>
  </w:style>
  <w:style w:type="character" w:styleId="775" w:customStyle="1">
    <w:name w:val="Заголовок 6 Знак"/>
    <w:basedOn w:val="767"/>
    <w:link w:val="763"/>
    <w:uiPriority w:val="9"/>
    <w:rPr>
      <w:rFonts w:ascii="Arial" w:hAnsi="Arial" w:eastAsia="Arial" w:cs="Arial"/>
      <w:b/>
      <w:bCs/>
      <w:sz w:val="22"/>
      <w:szCs w:val="22"/>
    </w:rPr>
  </w:style>
  <w:style w:type="character" w:styleId="776" w:customStyle="1">
    <w:name w:val="Заголовок 7 Знак"/>
    <w:basedOn w:val="767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7" w:customStyle="1">
    <w:name w:val="Заголовок 8 Знак"/>
    <w:basedOn w:val="767"/>
    <w:link w:val="765"/>
    <w:uiPriority w:val="9"/>
    <w:rPr>
      <w:rFonts w:ascii="Arial" w:hAnsi="Arial" w:eastAsia="Arial" w:cs="Arial"/>
      <w:i/>
      <w:iCs/>
      <w:sz w:val="22"/>
      <w:szCs w:val="22"/>
    </w:rPr>
  </w:style>
  <w:style w:type="character" w:styleId="778" w:customStyle="1">
    <w:name w:val="Заголовок 9 Знак"/>
    <w:basedOn w:val="767"/>
    <w:link w:val="766"/>
    <w:uiPriority w:val="9"/>
    <w:rPr>
      <w:rFonts w:ascii="Arial" w:hAnsi="Arial" w:eastAsia="Arial" w:cs="Arial"/>
      <w:i/>
      <w:iCs/>
      <w:sz w:val="21"/>
      <w:szCs w:val="21"/>
    </w:rPr>
  </w:style>
  <w:style w:type="paragraph" w:styleId="779">
    <w:name w:val="No Spacing"/>
    <w:uiPriority w:val="1"/>
    <w:qFormat/>
  </w:style>
  <w:style w:type="paragraph" w:styleId="780">
    <w:name w:val="Title"/>
    <w:basedOn w:val="757"/>
    <w:next w:val="757"/>
    <w:link w:val="7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1" w:customStyle="1">
    <w:name w:val="Заголовок Знак"/>
    <w:basedOn w:val="767"/>
    <w:link w:val="780"/>
    <w:uiPriority w:val="10"/>
    <w:rPr>
      <w:sz w:val="48"/>
      <w:szCs w:val="48"/>
    </w:rPr>
  </w:style>
  <w:style w:type="paragraph" w:styleId="782">
    <w:name w:val="Subtitle"/>
    <w:basedOn w:val="757"/>
    <w:next w:val="757"/>
    <w:link w:val="783"/>
    <w:uiPriority w:val="11"/>
    <w:qFormat/>
    <w:pPr>
      <w:spacing w:before="200" w:after="200"/>
    </w:pPr>
  </w:style>
  <w:style w:type="character" w:styleId="783" w:customStyle="1">
    <w:name w:val="Подзаголовок Знак"/>
    <w:basedOn w:val="767"/>
    <w:link w:val="782"/>
    <w:uiPriority w:val="11"/>
    <w:rPr>
      <w:sz w:val="24"/>
      <w:szCs w:val="24"/>
    </w:rPr>
  </w:style>
  <w:style w:type="paragraph" w:styleId="784">
    <w:name w:val="Quote"/>
    <w:basedOn w:val="757"/>
    <w:next w:val="757"/>
    <w:link w:val="785"/>
    <w:uiPriority w:val="29"/>
    <w:qFormat/>
    <w:pPr>
      <w:ind w:left="720" w:right="720"/>
    </w:pPr>
    <w:rPr>
      <w:i/>
    </w:rPr>
  </w:style>
  <w:style w:type="character" w:styleId="785" w:customStyle="1">
    <w:name w:val="Цитата 2 Знак"/>
    <w:link w:val="784"/>
    <w:uiPriority w:val="29"/>
    <w:rPr>
      <w:i/>
    </w:rPr>
  </w:style>
  <w:style w:type="paragraph" w:styleId="786">
    <w:name w:val="Intense Quote"/>
    <w:basedOn w:val="757"/>
    <w:next w:val="757"/>
    <w:link w:val="78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7" w:customStyle="1">
    <w:name w:val="Выделенная цитата Знак"/>
    <w:link w:val="786"/>
    <w:uiPriority w:val="30"/>
    <w:rPr>
      <w:i/>
    </w:rPr>
  </w:style>
  <w:style w:type="character" w:styleId="788" w:customStyle="1">
    <w:name w:val="Header Char"/>
    <w:basedOn w:val="767"/>
    <w:uiPriority w:val="99"/>
  </w:style>
  <w:style w:type="character" w:styleId="789" w:customStyle="1">
    <w:name w:val="Footer Char"/>
    <w:basedOn w:val="767"/>
    <w:uiPriority w:val="99"/>
  </w:style>
  <w:style w:type="paragraph" w:styleId="790">
    <w:name w:val="Caption"/>
    <w:basedOn w:val="757"/>
    <w:next w:val="757"/>
    <w:link w:val="7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1" w:customStyle="1">
    <w:name w:val="Caption Char"/>
    <w:uiPriority w:val="99"/>
  </w:style>
  <w:style w:type="table" w:styleId="792" w:customStyle="1">
    <w:name w:val="Table Grid Light"/>
    <w:basedOn w:val="76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3">
    <w:name w:val="Plain Table 1"/>
    <w:basedOn w:val="76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2"/>
    <w:basedOn w:val="76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3"/>
    <w:basedOn w:val="76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6">
    <w:name w:val="Plain Table 4"/>
    <w:basedOn w:val="76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Plain Table 5"/>
    <w:basedOn w:val="76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8">
    <w:name w:val="Grid Table 1 Light"/>
    <w:basedOn w:val="76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1"/>
    <w:basedOn w:val="76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2"/>
    <w:basedOn w:val="76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3"/>
    <w:basedOn w:val="76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4"/>
    <w:basedOn w:val="76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5"/>
    <w:basedOn w:val="76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6"/>
    <w:basedOn w:val="76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2"/>
    <w:basedOn w:val="76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1"/>
    <w:basedOn w:val="76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2"/>
    <w:basedOn w:val="76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3"/>
    <w:basedOn w:val="76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4"/>
    <w:basedOn w:val="76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5"/>
    <w:basedOn w:val="76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6"/>
    <w:basedOn w:val="76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"/>
    <w:basedOn w:val="76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1"/>
    <w:basedOn w:val="76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2"/>
    <w:basedOn w:val="76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3"/>
    <w:basedOn w:val="76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4"/>
    <w:basedOn w:val="76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5"/>
    <w:basedOn w:val="76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6"/>
    <w:basedOn w:val="76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4"/>
    <w:basedOn w:val="76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0" w:customStyle="1">
    <w:name w:val="Grid Table 4 - Accent 1"/>
    <w:basedOn w:val="768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1" w:customStyle="1">
    <w:name w:val="Grid Table 4 - Accent 2"/>
    <w:basedOn w:val="768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2" w:customStyle="1">
    <w:name w:val="Grid Table 4 - Accent 3"/>
    <w:basedOn w:val="768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3" w:customStyle="1">
    <w:name w:val="Grid Table 4 - Accent 4"/>
    <w:basedOn w:val="768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4" w:customStyle="1">
    <w:name w:val="Grid Table 4 - Accent 5"/>
    <w:basedOn w:val="768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5" w:customStyle="1">
    <w:name w:val="Grid Table 4 - Accent 6"/>
    <w:basedOn w:val="768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6">
    <w:name w:val="Grid Table 5 Dark"/>
    <w:basedOn w:val="7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- Accent 1"/>
    <w:basedOn w:val="7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 - Accent 2"/>
    <w:basedOn w:val="7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 - Accent 3"/>
    <w:basedOn w:val="7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- Accent 4"/>
    <w:basedOn w:val="7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5"/>
    <w:basedOn w:val="7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 - Accent 6"/>
    <w:basedOn w:val="7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3">
    <w:name w:val="Grid Table 6 Colorful"/>
    <w:basedOn w:val="76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4" w:customStyle="1">
    <w:name w:val="Grid Table 6 Colorful - Accent 1"/>
    <w:basedOn w:val="768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5" w:customStyle="1">
    <w:name w:val="Grid Table 6 Colorful - Accent 2"/>
    <w:basedOn w:val="76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6" w:customStyle="1">
    <w:name w:val="Grid Table 6 Colorful - Accent 3"/>
    <w:basedOn w:val="768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7" w:customStyle="1">
    <w:name w:val="Grid Table 6 Colorful - Accent 4"/>
    <w:basedOn w:val="76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8" w:customStyle="1">
    <w:name w:val="Grid Table 6 Colorful - Accent 5"/>
    <w:basedOn w:val="768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9" w:customStyle="1">
    <w:name w:val="Grid Table 6 Colorful - Accent 6"/>
    <w:basedOn w:val="768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0">
    <w:name w:val="Grid Table 7 Colorful"/>
    <w:basedOn w:val="76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7 Colorful - Accent 1"/>
    <w:basedOn w:val="768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7 Colorful - Accent 2"/>
    <w:basedOn w:val="768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3"/>
    <w:basedOn w:val="768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7 Colorful - Accent 4"/>
    <w:basedOn w:val="768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7 Colorful - Accent 5"/>
    <w:basedOn w:val="768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7 Colorful - Accent 6"/>
    <w:basedOn w:val="768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"/>
    <w:basedOn w:val="76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1"/>
    <w:basedOn w:val="768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2"/>
    <w:basedOn w:val="768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3"/>
    <w:basedOn w:val="768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4"/>
    <w:basedOn w:val="768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5"/>
    <w:basedOn w:val="768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6"/>
    <w:basedOn w:val="768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2"/>
    <w:basedOn w:val="76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1"/>
    <w:basedOn w:val="768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2"/>
    <w:basedOn w:val="768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3"/>
    <w:basedOn w:val="768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4"/>
    <w:basedOn w:val="768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5"/>
    <w:basedOn w:val="768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6"/>
    <w:basedOn w:val="768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1">
    <w:name w:val="List Table 3"/>
    <w:basedOn w:val="76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1"/>
    <w:basedOn w:val="768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2"/>
    <w:basedOn w:val="76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3"/>
    <w:basedOn w:val="768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4"/>
    <w:basedOn w:val="76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5"/>
    <w:basedOn w:val="768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6"/>
    <w:basedOn w:val="768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"/>
    <w:basedOn w:val="76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1"/>
    <w:basedOn w:val="768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2"/>
    <w:basedOn w:val="768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3"/>
    <w:basedOn w:val="768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4"/>
    <w:basedOn w:val="768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5"/>
    <w:basedOn w:val="768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6"/>
    <w:basedOn w:val="768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5 Dark"/>
    <w:basedOn w:val="76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1"/>
    <w:basedOn w:val="768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2"/>
    <w:basedOn w:val="768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3"/>
    <w:basedOn w:val="768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4"/>
    <w:basedOn w:val="768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5"/>
    <w:basedOn w:val="768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6"/>
    <w:basedOn w:val="768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>
    <w:name w:val="List Table 6 Colorful"/>
    <w:basedOn w:val="76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3" w:customStyle="1">
    <w:name w:val="List Table 6 Colorful - Accent 1"/>
    <w:basedOn w:val="768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4" w:customStyle="1">
    <w:name w:val="List Table 6 Colorful - Accent 2"/>
    <w:basedOn w:val="768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5" w:customStyle="1">
    <w:name w:val="List Table 6 Colorful - Accent 3"/>
    <w:basedOn w:val="768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6" w:customStyle="1">
    <w:name w:val="List Table 6 Colorful - Accent 4"/>
    <w:basedOn w:val="768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7" w:customStyle="1">
    <w:name w:val="List Table 6 Colorful - Accent 5"/>
    <w:basedOn w:val="768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8" w:customStyle="1">
    <w:name w:val="List Table 6 Colorful - Accent 6"/>
    <w:basedOn w:val="768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9">
    <w:name w:val="List Table 7 Colorful"/>
    <w:basedOn w:val="76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7 Colorful - Accent 1"/>
    <w:basedOn w:val="768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7 Colorful - Accent 2"/>
    <w:basedOn w:val="768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3"/>
    <w:basedOn w:val="768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7 Colorful - Accent 4"/>
    <w:basedOn w:val="768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st Table 7 Colorful - Accent 5"/>
    <w:basedOn w:val="768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st Table 7 Colorful - Accent 6"/>
    <w:basedOn w:val="768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ned - Accent"/>
    <w:basedOn w:val="7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7" w:customStyle="1">
    <w:name w:val="Lined - Accent 1"/>
    <w:basedOn w:val="7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8" w:customStyle="1">
    <w:name w:val="Lined - Accent 2"/>
    <w:basedOn w:val="7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9" w:customStyle="1">
    <w:name w:val="Lined - Accent 3"/>
    <w:basedOn w:val="7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0" w:customStyle="1">
    <w:name w:val="Lined - Accent 4"/>
    <w:basedOn w:val="7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1" w:customStyle="1">
    <w:name w:val="Lined - Accent 5"/>
    <w:basedOn w:val="7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2" w:customStyle="1">
    <w:name w:val="Lined - Accent 6"/>
    <w:basedOn w:val="7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3" w:customStyle="1">
    <w:name w:val="Bordered &amp; Lined - Accent"/>
    <w:basedOn w:val="768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4" w:customStyle="1">
    <w:name w:val="Bordered &amp; Lined - Accent 1"/>
    <w:basedOn w:val="768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5" w:customStyle="1">
    <w:name w:val="Bordered &amp; Lined - Accent 2"/>
    <w:basedOn w:val="768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6" w:customStyle="1">
    <w:name w:val="Bordered &amp; Lined - Accent 3"/>
    <w:basedOn w:val="768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7" w:customStyle="1">
    <w:name w:val="Bordered &amp; Lined - Accent 4"/>
    <w:basedOn w:val="768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8" w:customStyle="1">
    <w:name w:val="Bordered &amp; Lined - Accent 5"/>
    <w:basedOn w:val="768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9" w:customStyle="1">
    <w:name w:val="Bordered &amp; Lined - Accent 6"/>
    <w:basedOn w:val="768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0" w:customStyle="1">
    <w:name w:val="Bordered"/>
    <w:basedOn w:val="76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1" w:customStyle="1">
    <w:name w:val="Bordered - Accent 1"/>
    <w:basedOn w:val="76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2" w:customStyle="1">
    <w:name w:val="Bordered - Accent 2"/>
    <w:basedOn w:val="76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3" w:customStyle="1">
    <w:name w:val="Bordered - Accent 3"/>
    <w:basedOn w:val="76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4" w:customStyle="1">
    <w:name w:val="Bordered - Accent 4"/>
    <w:basedOn w:val="76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5" w:customStyle="1">
    <w:name w:val="Bordered - Accent 5"/>
    <w:basedOn w:val="76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6" w:customStyle="1">
    <w:name w:val="Bordered - Accent 6"/>
    <w:basedOn w:val="76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17" w:customStyle="1">
    <w:name w:val="Footnote Text Char"/>
    <w:uiPriority w:val="99"/>
    <w:rPr>
      <w:sz w:val="18"/>
    </w:rPr>
  </w:style>
  <w:style w:type="paragraph" w:styleId="918">
    <w:name w:val="endnote text"/>
    <w:basedOn w:val="757"/>
    <w:link w:val="919"/>
    <w:uiPriority w:val="99"/>
    <w:semiHidden/>
    <w:unhideWhenUsed/>
    <w:rPr>
      <w:sz w:val="20"/>
    </w:rPr>
  </w:style>
  <w:style w:type="character" w:styleId="919" w:customStyle="1">
    <w:name w:val="Текст концевой сноски Знак"/>
    <w:link w:val="918"/>
    <w:uiPriority w:val="99"/>
    <w:rPr>
      <w:sz w:val="20"/>
    </w:rPr>
  </w:style>
  <w:style w:type="character" w:styleId="920">
    <w:name w:val="endnote reference"/>
    <w:basedOn w:val="767"/>
    <w:uiPriority w:val="99"/>
    <w:semiHidden/>
    <w:unhideWhenUsed/>
    <w:rPr>
      <w:vertAlign w:val="superscript"/>
    </w:rPr>
  </w:style>
  <w:style w:type="paragraph" w:styleId="921">
    <w:name w:val="toc 1"/>
    <w:basedOn w:val="757"/>
    <w:next w:val="757"/>
    <w:uiPriority w:val="39"/>
    <w:unhideWhenUsed/>
    <w:pPr>
      <w:spacing w:after="57"/>
    </w:pPr>
  </w:style>
  <w:style w:type="paragraph" w:styleId="922">
    <w:name w:val="toc 2"/>
    <w:basedOn w:val="757"/>
    <w:next w:val="757"/>
    <w:uiPriority w:val="39"/>
    <w:unhideWhenUsed/>
    <w:pPr>
      <w:ind w:left="283"/>
      <w:spacing w:after="57"/>
    </w:pPr>
  </w:style>
  <w:style w:type="paragraph" w:styleId="923">
    <w:name w:val="toc 3"/>
    <w:basedOn w:val="757"/>
    <w:next w:val="757"/>
    <w:uiPriority w:val="39"/>
    <w:unhideWhenUsed/>
    <w:pPr>
      <w:ind w:left="567"/>
      <w:spacing w:after="57"/>
    </w:pPr>
  </w:style>
  <w:style w:type="paragraph" w:styleId="924">
    <w:name w:val="toc 4"/>
    <w:basedOn w:val="757"/>
    <w:next w:val="757"/>
    <w:uiPriority w:val="39"/>
    <w:unhideWhenUsed/>
    <w:pPr>
      <w:ind w:left="850"/>
      <w:spacing w:after="57"/>
    </w:pPr>
  </w:style>
  <w:style w:type="paragraph" w:styleId="925">
    <w:name w:val="toc 5"/>
    <w:basedOn w:val="757"/>
    <w:next w:val="757"/>
    <w:uiPriority w:val="39"/>
    <w:unhideWhenUsed/>
    <w:pPr>
      <w:ind w:left="1134"/>
      <w:spacing w:after="57"/>
    </w:pPr>
  </w:style>
  <w:style w:type="paragraph" w:styleId="926">
    <w:name w:val="toc 6"/>
    <w:basedOn w:val="757"/>
    <w:next w:val="757"/>
    <w:uiPriority w:val="39"/>
    <w:unhideWhenUsed/>
    <w:pPr>
      <w:ind w:left="1417"/>
      <w:spacing w:after="57"/>
    </w:pPr>
  </w:style>
  <w:style w:type="paragraph" w:styleId="927">
    <w:name w:val="toc 7"/>
    <w:basedOn w:val="757"/>
    <w:next w:val="757"/>
    <w:uiPriority w:val="39"/>
    <w:unhideWhenUsed/>
    <w:pPr>
      <w:ind w:left="1701"/>
      <w:spacing w:after="57"/>
    </w:pPr>
  </w:style>
  <w:style w:type="paragraph" w:styleId="928">
    <w:name w:val="toc 8"/>
    <w:basedOn w:val="757"/>
    <w:next w:val="757"/>
    <w:uiPriority w:val="39"/>
    <w:unhideWhenUsed/>
    <w:pPr>
      <w:ind w:left="1984"/>
      <w:spacing w:after="57"/>
    </w:pPr>
  </w:style>
  <w:style w:type="paragraph" w:styleId="929">
    <w:name w:val="toc 9"/>
    <w:basedOn w:val="757"/>
    <w:next w:val="757"/>
    <w:uiPriority w:val="39"/>
    <w:unhideWhenUsed/>
    <w:pPr>
      <w:ind w:left="2268"/>
      <w:spacing w:after="57"/>
    </w:pPr>
  </w:style>
  <w:style w:type="paragraph" w:styleId="930">
    <w:name w:val="TOC Heading"/>
    <w:uiPriority w:val="39"/>
    <w:unhideWhenUsed/>
  </w:style>
  <w:style w:type="paragraph" w:styleId="931">
    <w:name w:val="table of figures"/>
    <w:basedOn w:val="757"/>
    <w:next w:val="757"/>
    <w:uiPriority w:val="99"/>
    <w:unhideWhenUsed/>
  </w:style>
  <w:style w:type="character" w:styleId="932">
    <w:name w:val="Strong"/>
    <w:qFormat/>
    <w:rPr>
      <w:b/>
      <w:bCs/>
    </w:rPr>
  </w:style>
  <w:style w:type="paragraph" w:styleId="933">
    <w:name w:val="Document Map"/>
    <w:basedOn w:val="757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34">
    <w:name w:val="Table Grid"/>
    <w:basedOn w:val="76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5">
    <w:name w:val="Footer"/>
    <w:basedOn w:val="757"/>
    <w:link w:val="948"/>
    <w:uiPriority w:val="99"/>
    <w:pPr>
      <w:tabs>
        <w:tab w:val="center" w:pos="4677" w:leader="none"/>
        <w:tab w:val="right" w:pos="9355" w:leader="none"/>
      </w:tabs>
    </w:pPr>
  </w:style>
  <w:style w:type="character" w:styleId="936">
    <w:name w:val="page number"/>
    <w:basedOn w:val="767"/>
  </w:style>
  <w:style w:type="paragraph" w:styleId="937">
    <w:name w:val="List Paragraph"/>
    <w:basedOn w:val="757"/>
    <w:uiPriority w:val="34"/>
    <w:qFormat/>
    <w:pPr>
      <w:contextualSpacing/>
      <w:ind w:left="720"/>
    </w:pPr>
  </w:style>
  <w:style w:type="paragraph" w:styleId="938">
    <w:name w:val="Balloon Text"/>
    <w:basedOn w:val="757"/>
    <w:link w:val="939"/>
    <w:uiPriority w:val="99"/>
    <w:semiHidden/>
    <w:unhideWhenUsed/>
    <w:rPr>
      <w:rFonts w:ascii="Tahoma" w:hAnsi="Tahoma"/>
      <w:sz w:val="16"/>
      <w:szCs w:val="16"/>
    </w:rPr>
  </w:style>
  <w:style w:type="character" w:styleId="939" w:customStyle="1">
    <w:name w:val="Текст выноски Знак"/>
    <w:link w:val="938"/>
    <w:uiPriority w:val="99"/>
    <w:semiHidden/>
    <w:rPr>
      <w:rFonts w:ascii="Tahoma" w:hAnsi="Tahoma" w:cs="Tahoma"/>
      <w:sz w:val="16"/>
      <w:szCs w:val="16"/>
    </w:rPr>
  </w:style>
  <w:style w:type="character" w:styleId="940">
    <w:name w:val="Hyperlink"/>
    <w:uiPriority w:val="99"/>
    <w:unhideWhenUsed/>
    <w:rPr>
      <w:color w:val="0000ff"/>
      <w:u w:val="single"/>
    </w:rPr>
  </w:style>
  <w:style w:type="paragraph" w:styleId="941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42">
    <w:name w:val="Header"/>
    <w:basedOn w:val="757"/>
    <w:link w:val="94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3" w:customStyle="1">
    <w:name w:val="Верхний колонтитул Знак"/>
    <w:link w:val="942"/>
    <w:uiPriority w:val="99"/>
    <w:rPr>
      <w:sz w:val="24"/>
      <w:szCs w:val="24"/>
    </w:rPr>
  </w:style>
  <w:style w:type="paragraph" w:styleId="944">
    <w:name w:val="Normal (Web)"/>
    <w:basedOn w:val="757"/>
    <w:link w:val="945"/>
    <w:pPr>
      <w:spacing w:before="100" w:beforeAutospacing="1" w:after="100" w:afterAutospacing="1"/>
    </w:pPr>
  </w:style>
  <w:style w:type="character" w:styleId="945" w:customStyle="1">
    <w:name w:val="Обычный (веб) Знак"/>
    <w:link w:val="944"/>
    <w:rPr>
      <w:sz w:val="24"/>
      <w:szCs w:val="24"/>
    </w:rPr>
  </w:style>
  <w:style w:type="paragraph" w:styleId="946">
    <w:name w:val="Body Text Indent 3"/>
    <w:basedOn w:val="757"/>
    <w:link w:val="947"/>
    <w:pPr>
      <w:ind w:right="-143" w:firstLine="709"/>
      <w:jc w:val="both"/>
    </w:pPr>
    <w:rPr>
      <w:sz w:val="28"/>
      <w:szCs w:val="28"/>
    </w:rPr>
  </w:style>
  <w:style w:type="character" w:styleId="947" w:customStyle="1">
    <w:name w:val="Основной текст с отступом 3 Знак"/>
    <w:link w:val="946"/>
    <w:rPr>
      <w:sz w:val="28"/>
      <w:szCs w:val="28"/>
    </w:rPr>
  </w:style>
  <w:style w:type="character" w:styleId="948" w:customStyle="1">
    <w:name w:val="Нижний колонтитул Знак"/>
    <w:link w:val="935"/>
    <w:uiPriority w:val="99"/>
    <w:rPr>
      <w:sz w:val="24"/>
      <w:szCs w:val="24"/>
    </w:rPr>
  </w:style>
  <w:style w:type="paragraph" w:styleId="949">
    <w:name w:val="Body Text Indent"/>
    <w:basedOn w:val="757"/>
    <w:link w:val="950"/>
    <w:uiPriority w:val="99"/>
    <w:semiHidden/>
    <w:unhideWhenUsed/>
    <w:pPr>
      <w:ind w:left="283"/>
      <w:spacing w:after="120"/>
    </w:pPr>
  </w:style>
  <w:style w:type="character" w:styleId="950" w:customStyle="1">
    <w:name w:val="Основной текст с отступом Знак"/>
    <w:basedOn w:val="767"/>
    <w:link w:val="949"/>
    <w:uiPriority w:val="99"/>
    <w:semiHidden/>
    <w:rPr>
      <w:sz w:val="24"/>
      <w:szCs w:val="24"/>
    </w:rPr>
  </w:style>
  <w:style w:type="paragraph" w:styleId="951" w:customStyle="1">
    <w:name w:val="ConsPlusNormal"/>
    <w:rPr>
      <w:sz w:val="28"/>
      <w:szCs w:val="28"/>
    </w:rPr>
  </w:style>
  <w:style w:type="paragraph" w:styleId="952" w:customStyle="1">
    <w:name w:val="Табличный_боковик_11"/>
    <w:link w:val="953"/>
    <w:qFormat/>
    <w:rPr>
      <w:sz w:val="22"/>
      <w:szCs w:val="24"/>
    </w:rPr>
  </w:style>
  <w:style w:type="character" w:styleId="953" w:customStyle="1">
    <w:name w:val="Табличный_боковик_11 Знак"/>
    <w:link w:val="952"/>
    <w:rPr>
      <w:sz w:val="22"/>
      <w:szCs w:val="24"/>
    </w:rPr>
  </w:style>
  <w:style w:type="character" w:styleId="954">
    <w:name w:val="FollowedHyperlink"/>
    <w:basedOn w:val="767"/>
    <w:uiPriority w:val="99"/>
    <w:semiHidden/>
    <w:unhideWhenUsed/>
    <w:rPr>
      <w:color w:val="800080" w:themeColor="followedHyperlink"/>
      <w:u w:val="single"/>
    </w:rPr>
  </w:style>
  <w:style w:type="paragraph" w:styleId="955" w:customStyle="1">
    <w:name w:val="Default"/>
    <w:rPr>
      <w:color w:val="000000"/>
      <w:sz w:val="24"/>
      <w:szCs w:val="24"/>
    </w:rPr>
  </w:style>
  <w:style w:type="paragraph" w:styleId="956">
    <w:name w:val="footnote text"/>
    <w:basedOn w:val="757"/>
    <w:link w:val="957"/>
    <w:uiPriority w:val="99"/>
    <w:semiHidden/>
    <w:unhideWhenUsed/>
    <w:rPr>
      <w:sz w:val="20"/>
      <w:szCs w:val="20"/>
    </w:rPr>
  </w:style>
  <w:style w:type="character" w:styleId="957" w:customStyle="1">
    <w:name w:val="Текст сноски Знак"/>
    <w:basedOn w:val="767"/>
    <w:link w:val="956"/>
    <w:uiPriority w:val="99"/>
    <w:semiHidden/>
  </w:style>
  <w:style w:type="character" w:styleId="958">
    <w:name w:val="footnote reference"/>
    <w:basedOn w:val="767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s://www.rts-tender.ru/tariffs/platform-property-sales-tariffs" TargetMode="External"/><Relationship Id="rId19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D1BBA-E4D5-4843-B931-44C46DB3E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48</cp:revision>
  <dcterms:created xsi:type="dcterms:W3CDTF">2024-03-06T03:58:00Z</dcterms:created>
  <dcterms:modified xsi:type="dcterms:W3CDTF">2026-06-29T09:13:07Z</dcterms:modified>
</cp:coreProperties>
</file>