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о проведении аукциона</w:t>
      </w:r>
      <w:r>
        <w:rPr>
          <w:b/>
          <w:color w:val="000000" w:themeColor="text1"/>
          <w:sz w:val="26"/>
          <w:szCs w:val="26"/>
        </w:rPr>
        <w:t xml:space="preserve">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 право заключения договора аренды</w:t>
      </w:r>
      <w:r>
        <w:rPr>
          <w:b/>
          <w:color w:val="000000" w:themeColor="text1"/>
          <w:sz w:val="26"/>
          <w:szCs w:val="26"/>
        </w:rPr>
        <w:t xml:space="preserve">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4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</w:t>
      </w:r>
      <w:r>
        <w:rPr>
          <w:color w:val="000000" w:themeColor="text1"/>
          <w:sz w:val="26"/>
          <w:szCs w:val="26"/>
        </w:rPr>
        <w:t xml:space="preserve"> в электронной форме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на право заключения договора аренды</w:t>
      </w:r>
      <w:r>
        <w:rPr>
          <w:color w:val="000000" w:themeColor="text1"/>
          <w:sz w:val="26"/>
          <w:szCs w:val="26"/>
        </w:rPr>
        <w:t xml:space="preserve">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Организатор аукциона</w:t>
      </w:r>
      <w:r>
        <w:rPr>
          <w:rStyle w:val="921"/>
          <w:color w:val="000000" w:themeColor="text1"/>
          <w:sz w:val="26"/>
          <w:szCs w:val="26"/>
        </w:rPr>
        <w:t xml:space="preserve"> в электронной форме</w:t>
      </w:r>
      <w:r>
        <w:rPr>
          <w:rStyle w:val="921"/>
          <w:color w:val="000000" w:themeColor="text1"/>
          <w:sz w:val="26"/>
          <w:szCs w:val="26"/>
        </w:rPr>
        <w:t xml:space="preserve">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</w:t>
      </w:r>
      <w:r>
        <w:rPr>
          <w:color w:val="000000" w:themeColor="text1"/>
          <w:sz w:val="26"/>
          <w:szCs w:val="26"/>
        </w:rPr>
        <w:t xml:space="preserve">, местонахождение 630007, город Новосибирск, Красный проспект, дом 18, адрес сайта: </w:t>
      </w:r>
      <w:hyperlink r:id="rId13" w:tooltip="http://dizo.nso.ru" w:history="1">
        <w:r>
          <w:rPr>
            <w:rStyle w:val="929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29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</w:t>
      </w:r>
      <w:r>
        <w:rPr>
          <w:color w:val="000000" w:themeColor="text1"/>
          <w:sz w:val="26"/>
          <w:szCs w:val="26"/>
        </w:rPr>
        <w:t xml:space="preserve">383</w:t>
      </w:r>
      <w:r>
        <w:rPr>
          <w:color w:val="000000" w:themeColor="text1"/>
          <w:sz w:val="26"/>
          <w:szCs w:val="26"/>
        </w:rPr>
        <w:t xml:space="preserve">) </w:t>
      </w:r>
      <w:r>
        <w:rPr>
          <w:color w:val="000000" w:themeColor="text1"/>
          <w:sz w:val="26"/>
          <w:szCs w:val="26"/>
        </w:rPr>
        <w:t xml:space="preserve">238-60-02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приказ департамента имущества и земельных отнош</w:t>
      </w:r>
      <w:r>
        <w:rPr>
          <w:color w:val="000000" w:themeColor="text1"/>
          <w:sz w:val="26"/>
          <w:szCs w:val="26"/>
        </w:rPr>
        <w:t xml:space="preserve">ений Новосибирской области от </w:t>
      </w:r>
      <w:r>
        <w:rPr>
          <w:color w:val="000000" w:themeColor="text1"/>
          <w:sz w:val="26"/>
          <w:szCs w:val="26"/>
        </w:rPr>
        <w:t xml:space="preserve">06.05.2026 №1314</w:t>
      </w:r>
      <w:r>
        <w:rPr>
          <w:color w:val="000000" w:themeColor="text1"/>
          <w:sz w:val="26"/>
          <w:szCs w:val="26"/>
        </w:rPr>
        <w:t xml:space="preserve"> «О проведении аукциона </w:t>
      </w:r>
      <w:r>
        <w:rPr>
          <w:color w:val="000000" w:themeColor="text1"/>
          <w:sz w:val="26"/>
          <w:szCs w:val="26"/>
        </w:rPr>
        <w:t xml:space="preserve">на право заключения договора аренды земельного участка</w:t>
      </w:r>
      <w:r>
        <w:rPr>
          <w:color w:val="000000" w:themeColor="text1"/>
          <w:sz w:val="26"/>
          <w:szCs w:val="26"/>
        </w:rPr>
        <w:t xml:space="preserve"> с кадастровым номером </w:t>
      </w:r>
      <w:r>
        <w:rPr>
          <w:color w:val="000000" w:themeColor="text1"/>
          <w:sz w:val="26"/>
          <w:szCs w:val="26"/>
        </w:rPr>
        <w:t xml:space="preserve">54:19:034001:2901</w:t>
      </w:r>
      <w:r>
        <w:rPr>
          <w:color w:val="000000" w:themeColor="text1"/>
          <w:sz w:val="26"/>
          <w:szCs w:val="26"/>
        </w:rPr>
        <w:t xml:space="preserve">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Оператор электронной площадки</w:t>
      </w:r>
      <w:r>
        <w:rPr>
          <w:rStyle w:val="921"/>
          <w:color w:val="000000" w:themeColor="text1"/>
          <w:sz w:val="26"/>
          <w:szCs w:val="26"/>
        </w:rPr>
        <w:t xml:space="preserve">:</w:t>
      </w:r>
      <w:r>
        <w:rPr>
          <w:rStyle w:val="921"/>
          <w:b w:val="0"/>
          <w:color w:val="000000" w:themeColor="text1"/>
          <w:sz w:val="26"/>
          <w:szCs w:val="26"/>
        </w:rPr>
        <w:t xml:space="preserve"> о</w:t>
      </w:r>
      <w:r>
        <w:rPr>
          <w:rStyle w:val="921"/>
          <w:b w:val="0"/>
          <w:color w:val="000000" w:themeColor="text1"/>
          <w:sz w:val="26"/>
          <w:szCs w:val="26"/>
        </w:rPr>
        <w:t xml:space="preserve">бщество с ограниченной ответственностью «РТС-тендер»</w:t>
      </w:r>
      <w:r>
        <w:rPr>
          <w:rStyle w:val="921"/>
          <w:b w:val="0"/>
          <w:color w:val="000000" w:themeColor="text1"/>
          <w:sz w:val="26"/>
          <w:szCs w:val="26"/>
        </w:rPr>
        <w:t xml:space="preserve">, место</w:t>
      </w:r>
      <w:r>
        <w:rPr>
          <w:rStyle w:val="921"/>
          <w:b w:val="0"/>
          <w:color w:val="000000" w:themeColor="text1"/>
          <w:sz w:val="26"/>
          <w:szCs w:val="26"/>
        </w:rPr>
        <w:t xml:space="preserve">нахождения: 121151, город Москва, набережная Тараса Шевченко, дом 23А</w:t>
      </w:r>
      <w:r>
        <w:rPr>
          <w:rStyle w:val="921"/>
          <w:b w:val="0"/>
          <w:color w:val="000000" w:themeColor="text1"/>
          <w:sz w:val="26"/>
          <w:szCs w:val="26"/>
        </w:rPr>
        <w:t xml:space="preserve">,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этаж 25, помещение №1,</w:t>
      </w:r>
      <w:r>
        <w:rPr>
          <w:rStyle w:val="921"/>
          <w:b w:val="0"/>
          <w:color w:val="000000" w:themeColor="text1"/>
          <w:sz w:val="26"/>
          <w:szCs w:val="26"/>
        </w:rPr>
        <w:t xml:space="preserve"> а</w:t>
      </w:r>
      <w:r>
        <w:rPr>
          <w:rStyle w:val="921"/>
          <w:b w:val="0"/>
          <w:color w:val="000000" w:themeColor="text1"/>
          <w:sz w:val="26"/>
          <w:szCs w:val="26"/>
        </w:rPr>
        <w:t xml:space="preserve">дрес сайта: </w:t>
      </w:r>
      <w:hyperlink r:id="rId15" w:tooltip="http://www.rts-tender.ru" w:history="1">
        <w:r>
          <w:rPr>
            <w:rStyle w:val="929"/>
            <w:color w:val="000000" w:themeColor="text1"/>
            <w:sz w:val="26"/>
            <w:szCs w:val="26"/>
          </w:rPr>
          <w:t xml:space="preserve">www.rts-tender.ru</w:t>
        </w:r>
      </w:hyperlink>
      <w:r>
        <w:rPr>
          <w:rStyle w:val="921"/>
          <w:b w:val="0"/>
          <w:color w:val="000000" w:themeColor="text1"/>
          <w:sz w:val="26"/>
          <w:szCs w:val="26"/>
        </w:rPr>
        <w:t xml:space="preserve">, а</w:t>
      </w:r>
      <w:r>
        <w:rPr>
          <w:rStyle w:val="921"/>
          <w:b w:val="0"/>
          <w:color w:val="000000" w:themeColor="text1"/>
          <w:sz w:val="26"/>
          <w:szCs w:val="26"/>
        </w:rPr>
        <w:t xml:space="preserve">дрес электронной почты: </w:t>
      </w:r>
      <w:hyperlink r:id="rId16" w:tooltip="mailto:iSupport@rts-tender.ru" w:history="1">
        <w:r>
          <w:rPr>
            <w:rStyle w:val="929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21"/>
          <w:b w:val="0"/>
          <w:color w:val="000000" w:themeColor="text1"/>
          <w:sz w:val="26"/>
          <w:szCs w:val="26"/>
        </w:rPr>
        <w:t xml:space="preserve">, т</w:t>
      </w:r>
      <w:r>
        <w:rPr>
          <w:rStyle w:val="921"/>
          <w:b w:val="0"/>
          <w:color w:val="000000" w:themeColor="text1"/>
          <w:sz w:val="26"/>
          <w:szCs w:val="26"/>
        </w:rPr>
        <w:t xml:space="preserve">елефон: +7 (499) 653-55-00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Форма торгов: </w:t>
      </w:r>
      <w:r>
        <w:rPr>
          <w:rStyle w:val="921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Дата проведения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16 июля 2026</w:t>
      </w:r>
      <w:r>
        <w:rPr>
          <w:color w:val="000000" w:themeColor="text1"/>
          <w:sz w:val="26"/>
          <w:szCs w:val="26"/>
        </w:rPr>
        <w:t xml:space="preserve"> года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10:00</w:t>
      </w:r>
      <w:r>
        <w:rPr>
          <w:color w:val="000000" w:themeColor="text1"/>
          <w:sz w:val="26"/>
          <w:szCs w:val="26"/>
        </w:rPr>
        <w:t xml:space="preserve">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rStyle w:val="921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оператор электронной площадки обеспе</w:t>
      </w:r>
      <w:r>
        <w:rPr>
          <w:color w:val="000000" w:themeColor="text1"/>
          <w:sz w:val="26"/>
          <w:szCs w:val="26"/>
        </w:rPr>
        <w:t xml:space="preserve">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времени начала проведения процедуры аукциона не поступило ни одного предлож</w:t>
      </w:r>
      <w:r>
        <w:rPr>
          <w:color w:val="000000" w:themeColor="text1"/>
          <w:sz w:val="26"/>
          <w:szCs w:val="26"/>
        </w:rPr>
        <w:t xml:space="preserve">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</w:t>
      </w:r>
      <w:r>
        <w:rPr>
          <w:color w:val="000000" w:themeColor="text1"/>
          <w:sz w:val="26"/>
          <w:szCs w:val="26"/>
        </w:rPr>
        <w:t xml:space="preserve">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</w:t>
      </w:r>
      <w:r>
        <w:rPr>
          <w:color w:val="000000" w:themeColor="text1"/>
          <w:sz w:val="26"/>
          <w:szCs w:val="26"/>
        </w:rPr>
        <w:t xml:space="preserve">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оператором электронной площадки в </w:t>
      </w:r>
      <w:r>
        <w:rPr>
          <w:color w:val="000000" w:themeColor="text1"/>
          <w:sz w:val="26"/>
          <w:szCs w:val="26"/>
        </w:rPr>
        <w:t xml:space="preserve">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Протокол о результатах аукц</w:t>
      </w:r>
      <w:r>
        <w:rPr>
          <w:color w:val="000000" w:themeColor="text1"/>
          <w:sz w:val="26"/>
          <w:szCs w:val="26"/>
        </w:rPr>
        <w:t xml:space="preserve">иона публикуется организатором аукциона на электронной площадке.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право на заключение договора аренды земельного участка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21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Лот № 1</w:t>
      </w:r>
      <w:r>
        <w:rPr>
          <w:rStyle w:val="921"/>
          <w:color w:val="000000" w:themeColor="text1"/>
          <w:sz w:val="26"/>
          <w:szCs w:val="26"/>
        </w:rPr>
      </w:r>
      <w:r>
        <w:rPr>
          <w:rStyle w:val="921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</w:t>
      </w:r>
      <w:r>
        <w:rPr>
          <w:color w:val="000000" w:themeColor="text1"/>
          <w:sz w:val="26"/>
          <w:szCs w:val="26"/>
        </w:rPr>
        <w:t xml:space="preserve">находящийся в государственной собственности Новосибирской области, с кадастровым номером </w:t>
      </w:r>
      <w:bookmarkStart w:id="0" w:name="_GoBack"/>
      <w:r>
        <w:rPr>
          <w:color w:val="000000" w:themeColor="text1"/>
          <w:sz w:val="26"/>
          <w:szCs w:val="26"/>
        </w:rPr>
        <w:t xml:space="preserve">54:19:034001:2901</w:t>
      </w:r>
      <w:bookmarkEnd w:id="0"/>
      <w:r>
        <w:rPr>
          <w:color w:val="000000" w:themeColor="text1"/>
          <w:sz w:val="26"/>
          <w:szCs w:val="26"/>
        </w:rPr>
        <w:t xml:space="preserve">, площадью </w:t>
      </w:r>
      <w:r>
        <w:rPr>
          <w:color w:val="000000" w:themeColor="text1"/>
          <w:sz w:val="26"/>
          <w:szCs w:val="26"/>
        </w:rPr>
        <w:t xml:space="preserve">15000 кв.м</w:t>
      </w:r>
      <w:r>
        <w:rPr>
          <w:color w:val="000000" w:themeColor="text1"/>
          <w:sz w:val="26"/>
          <w:szCs w:val="26"/>
        </w:rPr>
        <w:t xml:space="preserve">, местоположение: </w:t>
      </w:r>
      <w:r>
        <w:rPr>
          <w:color w:val="000000" w:themeColor="text1"/>
          <w:sz w:val="26"/>
          <w:szCs w:val="26"/>
        </w:rPr>
        <w:t xml:space="preserve">Новосибирская область, Новосибирский район, </w:t>
      </w:r>
      <w:r>
        <w:rPr>
          <w:color w:val="000000" w:themeColor="text1"/>
          <w:sz w:val="26"/>
          <w:szCs w:val="26"/>
        </w:rPr>
        <w:t xml:space="preserve">Толмачевский</w:t>
      </w:r>
      <w:r>
        <w:rPr>
          <w:color w:val="000000" w:themeColor="text1"/>
          <w:sz w:val="26"/>
          <w:szCs w:val="26"/>
        </w:rPr>
        <w:t xml:space="preserve"> сельсовет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</w:t>
      </w:r>
      <w:r>
        <w:rPr>
          <w:color w:val="000000" w:themeColor="text1"/>
          <w:sz w:val="26"/>
          <w:szCs w:val="26"/>
        </w:rPr>
        <w:t xml:space="preserve">объекты дорожного сервиса </w:t>
      </w:r>
      <w:r>
        <w:rPr>
          <w:color w:val="000000" w:themeColor="text1"/>
          <w:sz w:val="26"/>
          <w:szCs w:val="26"/>
        </w:rPr>
        <w:t xml:space="preserve">(4.9.1), склад (6.9)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color w:val="000000" w:themeColor="text1"/>
          <w:sz w:val="26"/>
          <w:szCs w:val="26"/>
          <w:highlight w:val="none"/>
        </w:rPr>
      </w:pPr>
      <w:r>
        <w:rPr>
          <w:rStyle w:val="921"/>
          <w:color w:val="000000" w:themeColor="text1"/>
          <w:sz w:val="26"/>
          <w:szCs w:val="26"/>
        </w:rPr>
        <w:t xml:space="preserve">Ограничение прав и обременение земельного участка: </w:t>
      </w:r>
      <w:r>
        <w:rPr>
          <w:rStyle w:val="921"/>
          <w:color w:val="000000" w:themeColor="text1"/>
          <w:sz w:val="26"/>
          <w:szCs w:val="26"/>
          <w:highlight w:val="none"/>
        </w:rPr>
      </w:r>
      <w:r>
        <w:rPr>
          <w:rStyle w:val="921"/>
          <w:color w:val="000000" w:themeColor="text1"/>
          <w:sz w:val="26"/>
          <w:szCs w:val="26"/>
          <w:highlight w:val="none"/>
        </w:rPr>
      </w:r>
    </w:p>
    <w:p>
      <w:pPr>
        <w:pStyle w:val="926"/>
        <w:numPr>
          <w:ilvl w:val="0"/>
          <w:numId w:val="23"/>
        </w:numPr>
        <w:ind w:left="0" w:right="0" w:firstLine="709"/>
        <w:jc w:val="both"/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pP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Земельный участок расположен в границах полос воздушных подходов аэродрома Новосибирск (Толмачево) - (ПВП);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r>
    </w:p>
    <w:p>
      <w:pPr>
        <w:pStyle w:val="926"/>
        <w:numPr>
          <w:ilvl w:val="0"/>
          <w:numId w:val="23"/>
        </w:numPr>
        <w:ind w:left="0" w:right="0" w:firstLine="709"/>
        <w:jc w:val="both"/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pP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  <w:lang w:val="ru-RU"/>
        </w:rPr>
        <w:t xml:space="preserve">Земельный участок расположен в приаэродромной территории аэропорта Толмачево (30 км от КТА);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r>
    </w:p>
    <w:p>
      <w:pPr>
        <w:pStyle w:val="926"/>
        <w:numPr>
          <w:ilvl w:val="0"/>
          <w:numId w:val="23"/>
        </w:numPr>
        <w:ind w:left="0" w:right="0" w:firstLine="709"/>
        <w:jc w:val="both"/>
        <w:rPr>
          <w:rStyle w:val="921"/>
          <w:b w:val="0"/>
          <w:bCs w:val="0"/>
          <w:color w:val="000000" w:themeColor="text1"/>
          <w:sz w:val="26"/>
          <w:szCs w:val="26"/>
        </w:rPr>
      </w:pP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ЗОУИТ 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54:00-6.634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 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III пояс санитарно - охранной зоны скважинного водозабора на участке Обского месторождения подземных вод муниципального унитарного предприятия г. Новосибирска "Горводоканал", расположенного в 2,0 км. к юго-востоку от г. Обь Новосибирского района Новос</w:t>
      </w:r>
      <w:r>
        <w:rPr>
          <w:rStyle w:val="921"/>
          <w:b w:val="0"/>
          <w:bCs w:val="0"/>
          <w:color w:val="000000" w:themeColor="text1"/>
          <w:sz w:val="26"/>
          <w:szCs w:val="26"/>
          <w:highlight w:val="none"/>
        </w:rPr>
        <w:t xml:space="preserve">ибирской области</w:t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</w:p>
    <w:p>
      <w:pPr>
        <w:pStyle w:val="926"/>
        <w:numPr>
          <w:ilvl w:val="0"/>
          <w:numId w:val="23"/>
        </w:numPr>
        <w:ind w:left="0" w:right="0" w:firstLine="709"/>
        <w:jc w:val="both"/>
        <w:rPr>
          <w:color w:val="000000" w:themeColor="text1"/>
          <w:sz w:val="26"/>
          <w:szCs w:val="26"/>
        </w:rPr>
      </w:pPr>
      <w:r>
        <w:rPr>
          <w:b w:val="0"/>
          <w:bCs w:val="0"/>
          <w:color w:val="000000" w:themeColor="text1"/>
          <w:sz w:val="26"/>
          <w:szCs w:val="26"/>
        </w:rPr>
        <w:t xml:space="preserve">ЗОУИТ </w:t>
      </w:r>
      <w:r>
        <w:rPr>
          <w:b w:val="0"/>
          <w:bCs w:val="0"/>
          <w:color w:val="000000" w:themeColor="text1"/>
          <w:sz w:val="26"/>
          <w:szCs w:val="26"/>
        </w:rPr>
        <w:t xml:space="preserve">54:19-</w:t>
      </w:r>
      <w:r>
        <w:rPr>
          <w:color w:val="000000" w:themeColor="text1"/>
          <w:sz w:val="26"/>
          <w:szCs w:val="26"/>
        </w:rPr>
        <w:t xml:space="preserve">6.2080</w:t>
      </w:r>
      <w:r>
        <w:rPr>
          <w:color w:val="000000" w:themeColor="text1"/>
          <w:sz w:val="26"/>
          <w:szCs w:val="26"/>
        </w:rPr>
        <w:t xml:space="preserve"> Санитарно-защитная зона о</w:t>
      </w:r>
      <w:r>
        <w:rPr>
          <w:color w:val="000000" w:themeColor="text1"/>
          <w:sz w:val="26"/>
          <w:szCs w:val="26"/>
        </w:rPr>
        <w:t xml:space="preserve">бъект: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«Складской комплекс со зданием АБК, открытая асфальтосмесительная установка, Новосибирская область, Новосибирский район, МО Толмачевский с/с».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Дополнительные сведения о земельном участке: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о</w:t>
      </w:r>
      <w:r>
        <w:rPr>
          <w:color w:val="000000" w:themeColor="text1"/>
          <w:sz w:val="26"/>
          <w:szCs w:val="26"/>
        </w:rPr>
        <w:t xml:space="preserve">тсутствуют.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Cs w:val="0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21"/>
          <w:bCs w:val="0"/>
          <w:color w:val="000000" w:themeColor="text1"/>
          <w:sz w:val="26"/>
          <w:szCs w:val="26"/>
        </w:rPr>
      </w:r>
      <w:r>
        <w:rPr>
          <w:rStyle w:val="921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21"/>
          <w:b w:val="0"/>
          <w:color w:val="000000" w:themeColor="text1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Пройд</w:t>
      </w:r>
      <w:r>
        <w:rPr>
          <w:rStyle w:val="921"/>
          <w:b w:val="0"/>
          <w:color w:val="000000" w:themeColor="text1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После регистраци</w:t>
      </w:r>
      <w:r>
        <w:rPr>
          <w:rStyle w:val="921"/>
          <w:b w:val="0"/>
          <w:color w:val="000000" w:themeColor="text1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 если Пр</w:t>
      </w:r>
      <w:r>
        <w:rPr>
          <w:rStyle w:val="921"/>
          <w:b w:val="0"/>
          <w:color w:val="000000" w:themeColor="text1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21"/>
          <w:b w:val="0"/>
          <w:color w:val="000000" w:themeColor="text1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21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Для обеспечения доступа к под</w:t>
      </w:r>
      <w:r>
        <w:rPr>
          <w:rStyle w:val="921"/>
          <w:b w:val="0"/>
          <w:color w:val="000000" w:themeColor="text1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29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29"/>
          <w:bCs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«РТС-тендер» имущественные торги.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29"/>
            <w:color w:val="000000" w:themeColor="text1"/>
            <w:sz w:val="26"/>
            <w:szCs w:val="26"/>
          </w:rPr>
          <w:t xml:space="preserve">https://www.rts-tender.ru/tariffs/platform-property-sales-tariffs</w:t>
        </w:r>
      </w:hyperlink>
      <w:r>
        <w:rPr>
          <w:color w:val="000000" w:themeColor="text1"/>
          <w:sz w:val="26"/>
          <w:szCs w:val="26"/>
        </w:rPr>
        <w:t xml:space="preserve">. Размер тарифа – </w:t>
      </w:r>
      <w:r>
        <w:rPr>
          <w:color w:val="000000" w:themeColor="text1"/>
          <w:sz w:val="26"/>
          <w:szCs w:val="26"/>
        </w:rPr>
        <w:t xml:space="preserve">1% от начальной цены имущества и не более 7 500 рублей, не включая НДС 20%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Денежные средства в размере стоимости оказания услуг блокируются на аналитическом счете Заявителя в момент подачи заявки на участие в аукционе, при условии наличия на нем соответствующей суммы свободных денежных средств.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Списание средств гарантийного обеспечения оплаты оказания услуг осуществляется с аналитического счета того участника, в отношении которого применимо одно из с</w:t>
      </w:r>
      <w:r>
        <w:rPr>
          <w:color w:val="000000" w:themeColor="text1"/>
          <w:sz w:val="26"/>
          <w:szCs w:val="26"/>
        </w:rPr>
        <w:t xml:space="preserve">ледующих условий: если с участником, который определен как лицо, с которым может быть заключен договор (победитель), заключен договор или участник признан уклонившимся от заключения договора – в течение одного рабочего дня с момента заключения с таким учас</w:t>
      </w:r>
      <w:r>
        <w:rPr>
          <w:color w:val="000000" w:themeColor="text1"/>
          <w:sz w:val="26"/>
          <w:szCs w:val="26"/>
        </w:rPr>
        <w:t xml:space="preserve">тником договора на электронной площадке или опубликования на электронной площадке сведений о заключении договора с таким участником или опубликования на электронной площадке акта (протокола) о признании такого участника уклонившимся от заключения договора.</w:t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Заключение договора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21"/>
          <w:color w:val="000000" w:themeColor="text1"/>
          <w:sz w:val="26"/>
          <w:szCs w:val="26"/>
        </w:rPr>
        <w:t xml:space="preserve">в электронной форме:</w:t>
      </w:r>
      <w:r>
        <w:rPr>
          <w:rStyle w:val="921"/>
          <w:color w:val="000000" w:themeColor="text1"/>
          <w:sz w:val="26"/>
          <w:szCs w:val="26"/>
        </w:rPr>
      </w:r>
      <w:r>
        <w:rPr>
          <w:rStyle w:val="921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Начальная цена предмета аукциона: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4 161 000 (четыре миллиона сто шестьдесят одна тысяча)</w:t>
      </w:r>
      <w:r>
        <w:rPr>
          <w:rStyle w:val="921"/>
          <w:b w:val="0"/>
          <w:color w:val="000000" w:themeColor="text1"/>
          <w:sz w:val="26"/>
          <w:szCs w:val="26"/>
        </w:rPr>
        <w:t xml:space="preserve"> рублей 00 копеек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Шаг аукциона: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208 050 (двести восемь тысяч пятьдесят)</w:t>
      </w:r>
      <w:r>
        <w:rPr>
          <w:color w:val="000000" w:themeColor="text1"/>
          <w:sz w:val="26"/>
          <w:szCs w:val="26"/>
        </w:rPr>
        <w:t xml:space="preserve"> рублей 00 копеек</w:t>
      </w:r>
      <w:r>
        <w:rPr>
          <w:color w:val="000000" w:themeColor="text1"/>
          <w:sz w:val="26"/>
          <w:szCs w:val="26"/>
        </w:rPr>
        <w:t xml:space="preserve"> 00 коп</w:t>
      </w:r>
      <w:r>
        <w:rPr>
          <w:color w:val="000000" w:themeColor="text1"/>
          <w:sz w:val="26"/>
          <w:szCs w:val="26"/>
        </w:rPr>
        <w:t xml:space="preserve">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none"/>
        </w:rPr>
        <w:outlineLvl w:val="0"/>
      </w:pPr>
      <w:r>
        <w:rPr>
          <w:b/>
          <w:color w:val="000000" w:themeColor="text1"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соответствии с </w:t>
      </w:r>
      <w:r>
        <w:rPr>
          <w:rFonts w:hint="eastAsia"/>
          <w:color w:val="000000" w:themeColor="text1"/>
          <w:sz w:val="26"/>
          <w:szCs w:val="26"/>
        </w:rPr>
        <w:t xml:space="preserve">Правилами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землепользования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и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застройки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Толмачевского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сельсовета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Новосибирского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района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Новосибирской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области</w:t>
      </w:r>
      <w:r>
        <w:rPr>
          <w:color w:val="000000" w:themeColor="text1"/>
          <w:sz w:val="26"/>
          <w:szCs w:val="26"/>
        </w:rPr>
        <w:t xml:space="preserve"> утвержденными </w:t>
      </w:r>
      <w:r>
        <w:rPr>
          <w:rFonts w:hint="eastAsia"/>
          <w:color w:val="000000" w:themeColor="text1"/>
          <w:sz w:val="26"/>
          <w:szCs w:val="26"/>
        </w:rPr>
        <w:t xml:space="preserve">приказом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министерства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строительства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Новосибирской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области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hint="eastAsia"/>
          <w:color w:val="000000" w:themeColor="text1"/>
          <w:sz w:val="26"/>
          <w:szCs w:val="26"/>
        </w:rPr>
        <w:t xml:space="preserve">от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08.06.2018 </w:t>
      </w:r>
      <w:r>
        <w:rPr>
          <w:color w:val="000000" w:themeColor="text1"/>
          <w:sz w:val="26"/>
          <w:szCs w:val="26"/>
        </w:rPr>
        <w:t xml:space="preserve">№</w:t>
      </w:r>
      <w:r>
        <w:rPr>
          <w:color w:val="000000" w:themeColor="text1"/>
          <w:sz w:val="26"/>
          <w:szCs w:val="26"/>
        </w:rPr>
        <w:t xml:space="preserve"> 269 (ред. от 02.06.2026)</w:t>
      </w:r>
      <w:r>
        <w:rPr>
          <w:color w:val="000000" w:themeColor="text1"/>
          <w:sz w:val="26"/>
          <w:szCs w:val="26"/>
        </w:rPr>
        <w:t xml:space="preserve">:</w:t>
      </w: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  <w:highlight w:val="none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  <w:highlight w:val="none"/>
        </w:rPr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38"/>
        <w:gridCol w:w="736"/>
        <w:gridCol w:w="787"/>
        <w:gridCol w:w="1456"/>
        <w:gridCol w:w="637"/>
        <w:gridCol w:w="637"/>
        <w:gridCol w:w="1667"/>
        <w:gridCol w:w="1169"/>
      </w:tblGrid>
      <w:tr>
        <w:tblPrEx/>
        <w:trPr>
          <w:tblHeader/>
        </w:trPr>
        <w:tc>
          <w:tcPr>
            <w:tcMar>
              <w:left w:w="28" w:type="dxa"/>
              <w:right w:w="28" w:type="dxa"/>
            </w:tcMar>
            <w:tcW w:w="131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На</w:t>
            </w:r>
            <w:r>
              <w:rPr>
                <w:color w:val="000000" w:themeColor="text1"/>
                <w:sz w:val="26"/>
                <w:szCs w:val="26"/>
              </w:rPr>
              <w:t xml:space="preserve">именование территориальная зоны/разрешенное использование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gridSpan w:val="7"/>
            <w:shd w:val="clear" w:color="auto" w:fill="ffffff"/>
            <w:tcMar>
              <w:left w:w="28" w:type="dxa"/>
              <w:right w:w="28" w:type="dxa"/>
            </w:tcMar>
            <w:tcW w:w="368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Предельные (минимальные и (или) максимальные) размеры земельных участков и предельные параметры раз</w:t>
            </w:r>
            <w:r>
              <w:rPr>
                <w:color w:val="000000" w:themeColor="text1"/>
                <w:sz w:val="26"/>
                <w:szCs w:val="26"/>
              </w:rPr>
              <w:t xml:space="preserve">решенного строительства</w:t>
            </w:r>
            <w:r>
              <w:rPr>
                <w:color w:val="000000" w:themeColor="text1"/>
                <w:sz w:val="26"/>
                <w:szCs w:val="26"/>
              </w:rPr>
              <w:t xml:space="preserve"> объектов капитального строительства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blHeader/>
        </w:trPr>
        <w:tc>
          <w:tcPr>
            <w:tcMar>
              <w:left w:w="28" w:type="dxa"/>
              <w:right w:w="28" w:type="dxa"/>
            </w:tcMar>
            <w:tcW w:w="1318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38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 min, (га)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40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 max, (га)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75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Отступ  min, (м)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33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Этаж min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33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Этаж max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86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Процент застройки min, (%)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ffffff"/>
            <w:tcMar>
              <w:left w:w="28" w:type="dxa"/>
              <w:right w:w="28" w:type="dxa"/>
            </w:tcMar>
            <w:tcW w:w="60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Процент застройки max, (%)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Mar>
              <w:left w:w="28" w:type="dxa"/>
              <w:right w:w="28" w:type="dxa"/>
            </w:tcMar>
            <w:tcW w:w="1318" w:type="pct"/>
            <w:textDirection w:val="lrTb"/>
            <w:noWrap w:val="false"/>
          </w:tcPr>
          <w:p>
            <w:pPr>
              <w:pStyle w:val="94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Объекты дорожного сервиса </w:t>
            </w:r>
            <w:r>
              <w:rPr>
                <w:color w:val="000000" w:themeColor="text1"/>
                <w:sz w:val="26"/>
                <w:szCs w:val="26"/>
              </w:rPr>
              <w:t xml:space="preserve">(4.9.1)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82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0,01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40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5,0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75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3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3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4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86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607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50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Mar>
              <w:left w:w="28" w:type="dxa"/>
              <w:right w:w="28" w:type="dxa"/>
            </w:tcMar>
            <w:tcW w:w="1318" w:type="pct"/>
            <w:textDirection w:val="lrTb"/>
            <w:noWrap w:val="false"/>
          </w:tcPr>
          <w:p>
            <w:pPr>
              <w:pStyle w:val="944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</w:t>
            </w:r>
            <w:r>
              <w:rPr>
                <w:color w:val="000000" w:themeColor="text1"/>
                <w:sz w:val="26"/>
                <w:szCs w:val="26"/>
              </w:rPr>
              <w:t xml:space="preserve">клад (6.9)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82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0,05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40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100,0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75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3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33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86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Mar>
              <w:left w:w="28" w:type="dxa"/>
              <w:right w:w="28" w:type="dxa"/>
            </w:tcMar>
            <w:tcW w:w="607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60 </w:t>
            </w: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</w:tbl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</w:t>
      </w:r>
      <w:r>
        <w:rPr>
          <w:b/>
          <w:bCs/>
          <w:color w:val="000000" w:themeColor="text1"/>
          <w:sz w:val="26"/>
          <w:szCs w:val="26"/>
        </w:rPr>
        <w:t xml:space="preserve">возможности подключения (технологического </w:t>
      </w:r>
      <w:r>
        <w:rPr>
          <w:b/>
          <w:bCs/>
          <w:color w:val="000000" w:themeColor="text1"/>
          <w:sz w:val="26"/>
          <w:szCs w:val="26"/>
        </w:rPr>
        <w:t xml:space="preserve">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</w:t>
      </w:r>
      <w:r>
        <w:rPr>
          <w:bCs/>
          <w:color w:val="000000" w:themeColor="text1"/>
          <w:sz w:val="26"/>
          <w:szCs w:val="26"/>
        </w:rPr>
        <w:t xml:space="preserve"> – подключение возможно к сетям МУП </w:t>
      </w:r>
      <w:r>
        <w:rPr>
          <w:bCs/>
          <w:color w:val="000000" w:themeColor="text1"/>
          <w:sz w:val="26"/>
          <w:szCs w:val="26"/>
        </w:rPr>
        <w:br/>
      </w:r>
      <w:r>
        <w:rPr>
          <w:bCs/>
          <w:color w:val="000000" w:themeColor="text1"/>
          <w:sz w:val="26"/>
          <w:szCs w:val="26"/>
        </w:rPr>
        <w:t xml:space="preserve">г. Новосибирска «Горводоканал».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водоотведения – подключение возможно к сетям МУП г. Новосибирска «Горводоканал».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</w:t>
      </w:r>
      <w:r>
        <w:rPr>
          <w:bCs/>
          <w:color w:val="000000" w:themeColor="text1"/>
          <w:sz w:val="26"/>
          <w:szCs w:val="26"/>
        </w:rPr>
        <w:t xml:space="preserve">возможность подключения отсутствует</w:t>
      </w:r>
      <w:r>
        <w:rPr>
          <w:bCs/>
          <w:color w:val="000000" w:themeColor="text1"/>
          <w:sz w:val="26"/>
          <w:szCs w:val="26"/>
        </w:rPr>
        <w:t xml:space="preserve">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Место приема заявок на участие в аукционе: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Дата и время начала приема заявок </w:t>
      </w:r>
      <w:r>
        <w:rPr>
          <w:rStyle w:val="921"/>
          <w:b w:val="0"/>
          <w:color w:val="000000" w:themeColor="text1"/>
          <w:sz w:val="26"/>
          <w:szCs w:val="26"/>
        </w:rPr>
        <w:t xml:space="preserve">25 июня 2026</w:t>
      </w:r>
      <w:r>
        <w:rPr>
          <w:rStyle w:val="921"/>
          <w:b w:val="0"/>
          <w:color w:val="000000" w:themeColor="text1"/>
          <w:sz w:val="26"/>
          <w:szCs w:val="26"/>
        </w:rPr>
        <w:t xml:space="preserve"> года в </w:t>
      </w:r>
      <w:r>
        <w:rPr>
          <w:rStyle w:val="921"/>
          <w:b w:val="0"/>
          <w:color w:val="000000" w:themeColor="text1"/>
          <w:sz w:val="26"/>
          <w:szCs w:val="26"/>
        </w:rPr>
        <w:t xml:space="preserve">00-00</w:t>
      </w:r>
      <w:r>
        <w:rPr>
          <w:rStyle w:val="921"/>
          <w:b w:val="0"/>
          <w:color w:val="000000" w:themeColor="text1"/>
          <w:sz w:val="26"/>
          <w:szCs w:val="26"/>
        </w:rPr>
        <w:t xml:space="preserve"> по местному времени. Прием заявок осуществляется круглосуточно.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Дата и время окончания приема заявок </w:t>
      </w:r>
      <w:r>
        <w:rPr>
          <w:rStyle w:val="921"/>
          <w:b w:val="0"/>
          <w:color w:val="000000" w:themeColor="text1"/>
          <w:sz w:val="26"/>
          <w:szCs w:val="26"/>
        </w:rPr>
        <w:t xml:space="preserve">10 июля 2026 года в 23-00</w:t>
      </w:r>
      <w:r>
        <w:rPr>
          <w:rStyle w:val="921"/>
          <w:b w:val="0"/>
          <w:color w:val="000000" w:themeColor="text1"/>
          <w:sz w:val="26"/>
          <w:szCs w:val="26"/>
        </w:rPr>
        <w:t xml:space="preserve"> по местному времени.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Дата, время и</w:t>
      </w:r>
      <w:r>
        <w:rPr>
          <w:rStyle w:val="921"/>
          <w:color w:val="000000" w:themeColor="text1"/>
          <w:sz w:val="26"/>
          <w:szCs w:val="26"/>
        </w:rPr>
        <w:t xml:space="preserve"> место определения участников аукциона: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14 июля 2026</w:t>
      </w:r>
      <w:r>
        <w:rPr>
          <w:color w:val="000000" w:themeColor="text1"/>
          <w:sz w:val="26"/>
          <w:szCs w:val="26"/>
        </w:rPr>
        <w:t xml:space="preserve"> года по адресу: город Новосибирск, Красный проспект, дом 18, этаж 1, кабинет № 105.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color w:val="000000" w:themeColor="text1"/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21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16 июля 2026</w:t>
      </w:r>
      <w:r>
        <w:rPr>
          <w:rStyle w:val="921"/>
          <w:b w:val="0"/>
          <w:color w:val="000000" w:themeColor="text1"/>
          <w:sz w:val="26"/>
          <w:szCs w:val="26"/>
        </w:rPr>
        <w:t xml:space="preserve"> года в </w:t>
      </w:r>
      <w:r>
        <w:rPr>
          <w:rStyle w:val="921"/>
          <w:b w:val="0"/>
          <w:color w:val="000000" w:themeColor="text1"/>
          <w:sz w:val="26"/>
          <w:szCs w:val="26"/>
        </w:rPr>
        <w:t xml:space="preserve">10:00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по местному времени </w:t>
      </w:r>
      <w:r>
        <w:rPr>
          <w:rStyle w:val="921"/>
          <w:b w:val="0"/>
          <w:color w:val="000000" w:themeColor="text1"/>
          <w:sz w:val="26"/>
          <w:szCs w:val="26"/>
        </w:rPr>
        <w:t xml:space="preserve">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Дата и место подведения итогов аукциона:</w:t>
      </w:r>
      <w:r>
        <w:rPr>
          <w:rStyle w:val="921"/>
          <w:b w:val="0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16 июля 2026</w:t>
      </w:r>
      <w:r>
        <w:rPr>
          <w:rStyle w:val="921"/>
          <w:b w:val="0"/>
          <w:color w:val="000000" w:themeColor="text1"/>
          <w:sz w:val="26"/>
          <w:szCs w:val="26"/>
        </w:rPr>
        <w:t xml:space="preserve"> года по адресу: город Новосибирск, Красный проспект, дом 18, этаж 1, кабинет № 10</w:t>
      </w:r>
      <w:r>
        <w:rPr>
          <w:color w:val="000000" w:themeColor="text1"/>
          <w:spacing w:val="2"/>
          <w:sz w:val="26"/>
          <w:szCs w:val="26"/>
        </w:rPr>
        <w:t xml:space="preserve">5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21"/>
          <w:color w:val="000000" w:themeColor="text1"/>
          <w:sz w:val="26"/>
          <w:szCs w:val="26"/>
        </w:rPr>
        <w:outlineLvl w:val="0"/>
      </w:pPr>
      <w:r>
        <w:rPr>
          <w:rStyle w:val="921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21"/>
          <w:color w:val="000000" w:themeColor="text1"/>
          <w:sz w:val="26"/>
          <w:szCs w:val="26"/>
        </w:rPr>
      </w:r>
      <w:r>
        <w:rPr>
          <w:rStyle w:val="921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1"/>
          <w:b w:val="0"/>
          <w:bCs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1"/>
          <w:b w:val="0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Размер задатка:</w:t>
      </w:r>
      <w:r>
        <w:rPr>
          <w:rStyle w:val="921"/>
          <w:color w:val="000000" w:themeColor="text1"/>
          <w:sz w:val="26"/>
          <w:szCs w:val="26"/>
        </w:rPr>
        <w:t xml:space="preserve"> </w:t>
      </w:r>
      <w:r>
        <w:rPr>
          <w:rStyle w:val="921"/>
          <w:b w:val="0"/>
          <w:color w:val="000000" w:themeColor="text1"/>
          <w:sz w:val="26"/>
          <w:szCs w:val="26"/>
        </w:rPr>
        <w:t xml:space="preserve">4 161 000 (четыре миллиона сто шестьдесят одна тысяча)</w:t>
      </w:r>
      <w:r>
        <w:rPr>
          <w:rStyle w:val="921"/>
          <w:b w:val="0"/>
          <w:color w:val="000000" w:themeColor="text1"/>
          <w:sz w:val="26"/>
          <w:szCs w:val="26"/>
        </w:rPr>
        <w:t xml:space="preserve"> рублей</w:t>
      </w:r>
      <w:r>
        <w:rPr>
          <w:rStyle w:val="921"/>
          <w:b w:val="0"/>
          <w:color w:val="000000" w:themeColor="text1"/>
          <w:sz w:val="26"/>
          <w:szCs w:val="26"/>
        </w:rPr>
        <w:t xml:space="preserve"> 00 коп</w:t>
      </w:r>
      <w:r>
        <w:rPr>
          <w:rStyle w:val="921"/>
          <w:b w:val="0"/>
          <w:color w:val="000000" w:themeColor="text1"/>
          <w:sz w:val="26"/>
          <w:szCs w:val="26"/>
        </w:rPr>
        <w:t xml:space="preserve">еек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</w:t>
      </w:r>
      <w:r>
        <w:rPr>
          <w:rStyle w:val="921"/>
          <w:b w:val="0"/>
          <w:color w:val="000000" w:themeColor="text1"/>
          <w:sz w:val="26"/>
          <w:szCs w:val="26"/>
        </w:rPr>
        <w:t xml:space="preserve">. </w:t>
      </w:r>
      <w:r>
        <w:rPr>
          <w:rStyle w:val="921"/>
          <w:b w:val="0"/>
          <w:color w:val="000000" w:themeColor="text1"/>
          <w:sz w:val="26"/>
          <w:szCs w:val="26"/>
        </w:rPr>
        <w:t xml:space="preserve">Получатель: МФиНП НСО (ДИиЗО НСО, л/с190010013)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ИНН 5406214965 / КПП 540601001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ОКЦ №1 Сибирское ГУ Банка России//УФК по Новосибирской области г.Новосибирск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БИК 015004950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р/с 40102810445370000043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л/с 03222643500000005100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ОКТМО 50701000</w:t>
      </w:r>
      <w:r>
        <w:rPr>
          <w:rStyle w:val="921"/>
          <w:b w:val="0"/>
          <w:color w:val="000000" w:themeColor="text1"/>
          <w:sz w:val="26"/>
          <w:szCs w:val="26"/>
        </w:rPr>
        <w:t xml:space="preserve">, </w:t>
      </w:r>
      <w:r>
        <w:rPr>
          <w:rStyle w:val="921"/>
          <w:b w:val="0"/>
          <w:color w:val="000000" w:themeColor="text1"/>
          <w:sz w:val="26"/>
          <w:szCs w:val="26"/>
        </w:rPr>
        <w:t xml:space="preserve">КБК 00000000000000000510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</w:t>
      </w:r>
      <w:r>
        <w:rPr>
          <w:rStyle w:val="921"/>
          <w:b w:val="0"/>
          <w:color w:val="000000" w:themeColor="text1"/>
          <w:sz w:val="26"/>
          <w:szCs w:val="26"/>
        </w:rPr>
        <w:t xml:space="preserve">54:19:034001:2901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Возврат задатка производится организатором аукциона по реквизитам, </w:t>
      </w:r>
      <w:r>
        <w:rPr>
          <w:rStyle w:val="921"/>
          <w:b w:val="0"/>
          <w:color w:val="000000" w:themeColor="text1"/>
          <w:sz w:val="26"/>
          <w:szCs w:val="26"/>
        </w:rPr>
        <w:t xml:space="preserve">указанным в заявке на участие в аукционе</w:t>
      </w:r>
      <w:r>
        <w:rPr>
          <w:rStyle w:val="921"/>
          <w:b w:val="0"/>
          <w:color w:val="000000" w:themeColor="text1"/>
          <w:sz w:val="26"/>
          <w:szCs w:val="26"/>
        </w:rPr>
        <w:t xml:space="preserve">, в следующих случаях: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21"/>
          <w:b w:val="0"/>
          <w:color w:val="000000" w:themeColor="text1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21"/>
          <w:b w:val="0"/>
          <w:color w:val="000000" w:themeColor="text1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color w:val="000000" w:themeColor="text1"/>
          <w:sz w:val="26"/>
          <w:szCs w:val="26"/>
        </w:rPr>
        <w:outlineLvl w:val="0"/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принявшему участие в аукционе участнику;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участнику, признанному победителем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засчитывается в </w:t>
      </w:r>
      <w:r>
        <w:rPr>
          <w:color w:val="000000" w:themeColor="text1"/>
          <w:sz w:val="26"/>
          <w:szCs w:val="26"/>
        </w:rPr>
        <w:t xml:space="preserve">счет арендной платы за земельный участок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1"/>
          <w:color w:val="000000" w:themeColor="text1"/>
          <w:sz w:val="26"/>
          <w:szCs w:val="26"/>
        </w:rPr>
      </w:pPr>
      <w:r>
        <w:rPr>
          <w:rStyle w:val="921"/>
          <w:color w:val="000000" w:themeColor="text1"/>
          <w:sz w:val="26"/>
          <w:szCs w:val="26"/>
        </w:rPr>
        <w:t xml:space="preserve">Сведения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21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21"/>
          <w:color w:val="000000" w:themeColor="text1"/>
          <w:sz w:val="26"/>
          <w:szCs w:val="26"/>
        </w:rPr>
      </w:r>
      <w:r>
        <w:rPr>
          <w:rStyle w:val="921"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color w:val="000000" w:themeColor="text1"/>
          <w:sz w:val="26"/>
          <w:szCs w:val="26"/>
        </w:rPr>
        <w:t xml:space="preserve">устанавливается по итогам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color w:val="000000" w:themeColor="text1"/>
          <w:sz w:val="26"/>
          <w:szCs w:val="26"/>
        </w:rPr>
        <w:t xml:space="preserve">1</w:t>
      </w:r>
      <w:r>
        <w:rPr>
          <w:b/>
          <w:i/>
          <w:color w:val="000000" w:themeColor="text1"/>
          <w:sz w:val="26"/>
          <w:szCs w:val="26"/>
        </w:rPr>
        <w:t xml:space="preserve">04</w:t>
      </w:r>
      <w:r>
        <w:rPr>
          <w:b/>
          <w:i/>
          <w:color w:val="000000" w:themeColor="text1"/>
          <w:sz w:val="26"/>
          <w:szCs w:val="26"/>
        </w:rPr>
        <w:t xml:space="preserve"> </w:t>
      </w:r>
      <w:r>
        <w:rPr>
          <w:b/>
          <w:i/>
          <w:color w:val="000000" w:themeColor="text1"/>
          <w:sz w:val="26"/>
          <w:szCs w:val="26"/>
        </w:rPr>
        <w:t xml:space="preserve">(</w:t>
      </w:r>
      <w:r>
        <w:rPr>
          <w:b/>
          <w:i/>
          <w:color w:val="000000" w:themeColor="text1"/>
          <w:sz w:val="26"/>
          <w:szCs w:val="26"/>
        </w:rPr>
        <w:t xml:space="preserve">сто </w:t>
      </w:r>
      <w:r>
        <w:rPr>
          <w:b/>
          <w:i/>
          <w:color w:val="000000" w:themeColor="text1"/>
          <w:sz w:val="26"/>
          <w:szCs w:val="26"/>
        </w:rPr>
        <w:t xml:space="preserve">четыре) месяца</w:t>
      </w:r>
      <w:r>
        <w:rPr>
          <w:color w:val="000000" w:themeColor="text1"/>
          <w:sz w:val="26"/>
          <w:szCs w:val="26"/>
        </w:rPr>
        <w:t xml:space="preserve"> с даты</w:t>
      </w:r>
      <w:r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21"/>
          <w:b w:val="0"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арендная плата вносится ежемесячно равными частями не позднее 25 (двадцать пятого) числа отчетного месяца</w:t>
      </w:r>
      <w:r>
        <w:rPr>
          <w:rStyle w:val="921"/>
          <w:b w:val="0"/>
          <w:color w:val="000000" w:themeColor="text1"/>
          <w:sz w:val="26"/>
          <w:szCs w:val="26"/>
        </w:rPr>
        <w:t xml:space="preserve">.</w:t>
      </w:r>
      <w:r>
        <w:rPr>
          <w:rStyle w:val="921"/>
          <w:b w:val="0"/>
          <w:color w:val="000000" w:themeColor="text1"/>
          <w:sz w:val="26"/>
          <w:szCs w:val="26"/>
        </w:rPr>
      </w:r>
      <w:r>
        <w:rPr>
          <w:rStyle w:val="921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Порядок заключения договора </w:t>
      </w:r>
      <w:r>
        <w:rPr>
          <w:b/>
          <w:color w:val="000000" w:themeColor="text1"/>
          <w:sz w:val="26"/>
          <w:szCs w:val="26"/>
        </w:rPr>
        <w:t xml:space="preserve">аренды</w:t>
      </w:r>
      <w:r>
        <w:rPr>
          <w:b/>
          <w:color w:val="000000" w:themeColor="text1"/>
          <w:sz w:val="26"/>
          <w:szCs w:val="26"/>
        </w:rPr>
        <w:t xml:space="preserve">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не допускается заключение договора </w:t>
      </w:r>
      <w:r>
        <w:rPr>
          <w:color w:val="000000" w:themeColor="text1"/>
          <w:sz w:val="26"/>
          <w:szCs w:val="26"/>
        </w:rPr>
        <w:t xml:space="preserve">аренды</w:t>
      </w:r>
      <w:r>
        <w:rPr>
          <w:color w:val="000000" w:themeColor="text1"/>
          <w:sz w:val="26"/>
          <w:szCs w:val="26"/>
        </w:rPr>
        <w:t xml:space="preserve"> земельного участка,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</w:t>
      </w:r>
      <w:r>
        <w:rPr>
          <w:color w:val="000000" w:themeColor="text1"/>
          <w:sz w:val="26"/>
          <w:szCs w:val="26"/>
        </w:rPr>
        <w:t xml:space="preserve"> размещен</w:t>
      </w:r>
      <w:r>
        <w:rPr>
          <w:color w:val="000000" w:themeColor="text1"/>
          <w:sz w:val="26"/>
          <w:szCs w:val="26"/>
        </w:rPr>
        <w:t xml:space="preserve"> на официальном сайте.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color w:val="000000" w:themeColor="text1"/>
            <w:sz w:val="26"/>
            <w:szCs w:val="26"/>
          </w:rPr>
          <w:t xml:space="preserve">пунктом 11</w:t>
        </w:r>
      </w:hyperlink>
      <w:r>
        <w:rPr>
          <w:color w:val="000000" w:themeColor="text1"/>
          <w:sz w:val="26"/>
          <w:szCs w:val="26"/>
        </w:rPr>
        <w:t xml:space="preserve"> статьи 39.13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Земельного кодекса Российской Федерации</w:t>
      </w:r>
      <w:r>
        <w:rPr>
          <w:color w:val="000000" w:themeColor="text1"/>
          <w:sz w:val="26"/>
          <w:szCs w:val="26"/>
        </w:rPr>
        <w:t xml:space="preserve">, направить победителю электронного аукциона или иным лицам, с которыми заключается договор </w:t>
      </w:r>
      <w:r>
        <w:rPr>
          <w:color w:val="000000" w:themeColor="text1"/>
          <w:sz w:val="26"/>
          <w:szCs w:val="26"/>
        </w:rPr>
        <w:t xml:space="preserve">аренды</w:t>
      </w:r>
      <w:r>
        <w:rPr>
          <w:color w:val="000000" w:themeColor="text1"/>
          <w:sz w:val="26"/>
          <w:szCs w:val="26"/>
        </w:rPr>
        <w:t xml:space="preserve"> земельного участка, подписанный проект договора </w:t>
      </w:r>
      <w:r>
        <w:rPr>
          <w:color w:val="000000" w:themeColor="text1"/>
          <w:sz w:val="26"/>
          <w:szCs w:val="26"/>
        </w:rPr>
        <w:t xml:space="preserve">аренды земельного участка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договор </w:t>
      </w:r>
      <w:r>
        <w:rPr>
          <w:color w:val="000000" w:themeColor="text1"/>
          <w:sz w:val="26"/>
          <w:szCs w:val="26"/>
        </w:rPr>
        <w:t xml:space="preserve">аренды</w:t>
      </w:r>
      <w:r>
        <w:rPr>
          <w:color w:val="000000" w:themeColor="text1"/>
          <w:sz w:val="26"/>
          <w:szCs w:val="26"/>
        </w:rPr>
        <w:t xml:space="preserve">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Если договор </w:t>
      </w:r>
      <w:r>
        <w:rPr>
          <w:bCs/>
          <w:color w:val="000000" w:themeColor="text1"/>
          <w:sz w:val="26"/>
          <w:szCs w:val="26"/>
        </w:rPr>
        <w:t xml:space="preserve">аренды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  <w:t xml:space="preserve">в течение десяти рабочих дней со дня направления победителю аукциона проекта указанного договора не б</w:t>
      </w:r>
      <w:r>
        <w:rPr>
          <w:bCs/>
          <w:color w:val="000000" w:themeColor="text1"/>
          <w:sz w:val="26"/>
          <w:szCs w:val="26"/>
        </w:rPr>
        <w:t xml:space="preserve">удет им подписан и представлен в департамент имущества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bCs/>
          <w:color w:val="000000" w:themeColor="text1"/>
          <w:sz w:val="26"/>
          <w:szCs w:val="26"/>
        </w:rPr>
        <w:t xml:space="preserve">по цене, предложенной таким участником аукциона</w:t>
      </w:r>
      <w:r>
        <w:rPr>
          <w:bCs/>
          <w:color w:val="000000" w:themeColor="text1"/>
          <w:sz w:val="26"/>
          <w:szCs w:val="26"/>
        </w:rPr>
        <w:t xml:space="preserve">.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В сл</w:t>
      </w:r>
      <w:r>
        <w:rPr>
          <w:bCs/>
          <w:color w:val="000000" w:themeColor="text1"/>
          <w:sz w:val="26"/>
          <w:szCs w:val="26"/>
        </w:rPr>
        <w:t xml:space="preserve">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</w:t>
      </w:r>
      <w:r>
        <w:rPr>
          <w:bCs/>
          <w:color w:val="000000" w:themeColor="text1"/>
          <w:sz w:val="26"/>
          <w:szCs w:val="26"/>
        </w:rPr>
        <w:t xml:space="preserve">договор</w:t>
      </w:r>
      <w:r>
        <w:rPr>
          <w:bCs/>
          <w:color w:val="000000" w:themeColor="text1"/>
          <w:sz w:val="26"/>
          <w:szCs w:val="26"/>
        </w:rPr>
        <w:t xml:space="preserve">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</w:t>
      </w:r>
      <w:r>
        <w:rPr>
          <w:bCs/>
          <w:color w:val="000000" w:themeColor="text1"/>
          <w:sz w:val="26"/>
          <w:szCs w:val="26"/>
        </w:rPr>
        <w:t xml:space="preserve">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Осмотр земельного участка </w:t>
      </w:r>
      <w:r>
        <w:rPr>
          <w:bCs/>
          <w:color w:val="000000" w:themeColor="text1"/>
          <w:sz w:val="26"/>
          <w:szCs w:val="26"/>
        </w:rPr>
        <w:t xml:space="preserve">заявителями осуществляется самостоятельно.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1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21"/>
          <w:b w:val="0"/>
          <w:color w:val="000000" w:themeColor="text1"/>
          <w:sz w:val="26"/>
          <w:szCs w:val="26"/>
        </w:rPr>
        <w:t xml:space="preserve"> принимает решение об отказе в проведении аукциона.</w:t>
      </w:r>
      <w:r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29"/>
            <w:color w:val="000000" w:themeColor="text1"/>
            <w:sz w:val="26"/>
            <w:szCs w:val="26"/>
          </w:rPr>
          <w:t xml:space="preserve">.</w:t>
        </w:r>
        <w:r>
          <w:rPr>
            <w:rStyle w:val="929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в течение трех дней со дня принятия данного решения.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21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Приложением к настоящему извещению являе</w:t>
      </w:r>
      <w:r>
        <w:rPr>
          <w:color w:val="000000" w:themeColor="text1"/>
          <w:sz w:val="26"/>
          <w:szCs w:val="26"/>
        </w:rPr>
        <w:t xml:space="preserve">тся: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форма заявки на участие в аукционе и проект договора аренды.</w:t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  <w:r>
        <w:rPr>
          <w:rStyle w:val="921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10</w:t>
    </w:r>
    <w:r>
      <w:fldChar w:fldCharType="end"/>
    </w:r>
    <w:r/>
  </w:p>
  <w:p>
    <w:pPr>
      <w:pStyle w:val="92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4"/>
      <w:rPr>
        <w:rStyle w:val="925"/>
      </w:rPr>
      <w:framePr w:wrap="around" w:vAnchor="text" w:hAnchor="margin" w:xAlign="right" w:y="1"/>
    </w:pPr>
    <w:r>
      <w:rPr>
        <w:rStyle w:val="925"/>
      </w:rPr>
      <w:fldChar w:fldCharType="begin"/>
    </w:r>
    <w:r>
      <w:rPr>
        <w:rStyle w:val="925"/>
      </w:rPr>
      <w:instrText xml:space="preserve">PAGE  </w:instrText>
    </w:r>
    <w:r>
      <w:rPr>
        <w:rStyle w:val="925"/>
      </w:rPr>
      <w:fldChar w:fldCharType="end"/>
    </w:r>
    <w:r>
      <w:rPr>
        <w:rStyle w:val="925"/>
      </w:rPr>
    </w:r>
    <w:r>
      <w:rPr>
        <w:rStyle w:val="925"/>
      </w:rPr>
    </w:r>
  </w:p>
  <w:p>
    <w:pPr>
      <w:pStyle w:val="924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2"/>
  </w:num>
  <w:num w:numId="14">
    <w:abstractNumId w:val="0"/>
  </w:num>
  <w:num w:numId="15">
    <w:abstractNumId w:val="9"/>
  </w:num>
  <w:num w:numId="16">
    <w:abstractNumId w:val="2"/>
  </w:num>
  <w:num w:numId="17">
    <w:abstractNumId w:val="0"/>
  </w:num>
  <w:num w:numId="18">
    <w:abstractNumId w:val="9"/>
  </w:num>
  <w:num w:numId="19">
    <w:abstractNumId w:val="2"/>
  </w:num>
  <w:num w:numId="20">
    <w:abstractNumId w:val="0"/>
  </w:num>
  <w:num w:numId="21">
    <w:abstractNumId w:val="9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>
    <w:name w:val="Heading 1"/>
    <w:basedOn w:val="917"/>
    <w:next w:val="917"/>
    <w:link w:val="7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5">
    <w:name w:val="Heading 1 Char"/>
    <w:basedOn w:val="918"/>
    <w:link w:val="744"/>
    <w:uiPriority w:val="9"/>
    <w:rPr>
      <w:rFonts w:ascii="Arial" w:hAnsi="Arial" w:eastAsia="Arial" w:cs="Arial"/>
      <w:sz w:val="40"/>
      <w:szCs w:val="40"/>
    </w:rPr>
  </w:style>
  <w:style w:type="paragraph" w:styleId="746">
    <w:name w:val="Heading 2"/>
    <w:basedOn w:val="917"/>
    <w:next w:val="917"/>
    <w:link w:val="7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7">
    <w:name w:val="Heading 2 Char"/>
    <w:basedOn w:val="918"/>
    <w:link w:val="746"/>
    <w:uiPriority w:val="9"/>
    <w:rPr>
      <w:rFonts w:ascii="Arial" w:hAnsi="Arial" w:eastAsia="Arial" w:cs="Arial"/>
      <w:sz w:val="34"/>
    </w:rPr>
  </w:style>
  <w:style w:type="paragraph" w:styleId="748">
    <w:name w:val="Heading 3"/>
    <w:basedOn w:val="917"/>
    <w:next w:val="917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9">
    <w:name w:val="Heading 3 Char"/>
    <w:basedOn w:val="918"/>
    <w:link w:val="748"/>
    <w:uiPriority w:val="9"/>
    <w:rPr>
      <w:rFonts w:ascii="Arial" w:hAnsi="Arial" w:eastAsia="Arial" w:cs="Arial"/>
      <w:sz w:val="30"/>
      <w:szCs w:val="30"/>
    </w:rPr>
  </w:style>
  <w:style w:type="paragraph" w:styleId="750">
    <w:name w:val="Heading 4"/>
    <w:basedOn w:val="917"/>
    <w:next w:val="917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1">
    <w:name w:val="Heading 4 Char"/>
    <w:basedOn w:val="918"/>
    <w:link w:val="750"/>
    <w:uiPriority w:val="9"/>
    <w:rPr>
      <w:rFonts w:ascii="Arial" w:hAnsi="Arial" w:eastAsia="Arial" w:cs="Arial"/>
      <w:b/>
      <w:bCs/>
      <w:sz w:val="26"/>
      <w:szCs w:val="26"/>
    </w:rPr>
  </w:style>
  <w:style w:type="paragraph" w:styleId="752">
    <w:name w:val="Heading 5"/>
    <w:basedOn w:val="917"/>
    <w:next w:val="917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3">
    <w:name w:val="Heading 5 Char"/>
    <w:basedOn w:val="918"/>
    <w:link w:val="752"/>
    <w:uiPriority w:val="9"/>
    <w:rPr>
      <w:rFonts w:ascii="Arial" w:hAnsi="Arial" w:eastAsia="Arial" w:cs="Arial"/>
      <w:b/>
      <w:bCs/>
      <w:sz w:val="24"/>
      <w:szCs w:val="24"/>
    </w:rPr>
  </w:style>
  <w:style w:type="paragraph" w:styleId="754">
    <w:name w:val="Heading 6"/>
    <w:basedOn w:val="917"/>
    <w:next w:val="917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5">
    <w:name w:val="Heading 6 Char"/>
    <w:basedOn w:val="918"/>
    <w:link w:val="754"/>
    <w:uiPriority w:val="9"/>
    <w:rPr>
      <w:rFonts w:ascii="Arial" w:hAnsi="Arial" w:eastAsia="Arial" w:cs="Arial"/>
      <w:b/>
      <w:bCs/>
      <w:sz w:val="22"/>
      <w:szCs w:val="22"/>
    </w:rPr>
  </w:style>
  <w:style w:type="paragraph" w:styleId="756">
    <w:name w:val="Heading 7"/>
    <w:basedOn w:val="917"/>
    <w:next w:val="917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>
    <w:name w:val="Heading 7 Char"/>
    <w:basedOn w:val="918"/>
    <w:link w:val="7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917"/>
    <w:next w:val="917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>
    <w:name w:val="Heading 8 Char"/>
    <w:basedOn w:val="918"/>
    <w:link w:val="758"/>
    <w:uiPriority w:val="9"/>
    <w:rPr>
      <w:rFonts w:ascii="Arial" w:hAnsi="Arial" w:eastAsia="Arial" w:cs="Arial"/>
      <w:i/>
      <w:iCs/>
      <w:sz w:val="22"/>
      <w:szCs w:val="22"/>
    </w:rPr>
  </w:style>
  <w:style w:type="paragraph" w:styleId="760">
    <w:name w:val="Heading 9"/>
    <w:basedOn w:val="917"/>
    <w:next w:val="917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>
    <w:name w:val="Heading 9 Char"/>
    <w:basedOn w:val="918"/>
    <w:link w:val="760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17"/>
    <w:next w:val="917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basedOn w:val="918"/>
    <w:link w:val="763"/>
    <w:uiPriority w:val="10"/>
    <w:rPr>
      <w:sz w:val="48"/>
      <w:szCs w:val="48"/>
    </w:rPr>
  </w:style>
  <w:style w:type="paragraph" w:styleId="765">
    <w:name w:val="Subtitle"/>
    <w:basedOn w:val="917"/>
    <w:next w:val="917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basedOn w:val="918"/>
    <w:link w:val="765"/>
    <w:uiPriority w:val="11"/>
    <w:rPr>
      <w:sz w:val="24"/>
      <w:szCs w:val="24"/>
    </w:rPr>
  </w:style>
  <w:style w:type="paragraph" w:styleId="767">
    <w:name w:val="Quote"/>
    <w:basedOn w:val="917"/>
    <w:next w:val="917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17"/>
    <w:next w:val="917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character" w:styleId="771">
    <w:name w:val="Header Char"/>
    <w:basedOn w:val="918"/>
    <w:link w:val="931"/>
    <w:uiPriority w:val="99"/>
  </w:style>
  <w:style w:type="character" w:styleId="772">
    <w:name w:val="Footer Char"/>
    <w:basedOn w:val="918"/>
    <w:link w:val="924"/>
    <w:uiPriority w:val="99"/>
  </w:style>
  <w:style w:type="paragraph" w:styleId="773">
    <w:name w:val="Caption"/>
    <w:basedOn w:val="917"/>
    <w:next w:val="917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918"/>
    <w:link w:val="773"/>
    <w:uiPriority w:val="35"/>
    <w:rPr>
      <w:b/>
      <w:bCs/>
      <w:color w:val="4f81bd" w:themeColor="accent1"/>
      <w:sz w:val="18"/>
      <w:szCs w:val="18"/>
    </w:rPr>
  </w:style>
  <w:style w:type="table" w:styleId="775">
    <w:name w:val="Table Grid Light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Plain Table 1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2"/>
    <w:basedOn w:val="9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>
    <w:name w:val="Plain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>
    <w:name w:val="Grid Table 4 - Accent 1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4">
    <w:name w:val="Grid Table 4 - Accent 2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Grid Table 4 - Accent 3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6">
    <w:name w:val="Grid Table 4 - Accent 4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Grid Table 4 - Accent 5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8">
    <w:name w:val="Grid Table 4 - Accent 6"/>
    <w:basedOn w:val="9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9">
    <w:name w:val="Grid Table 5 Dark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6">
    <w:name w:val="Grid Table 6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7">
    <w:name w:val="Grid Table 6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8">
    <w:name w:val="Grid Table 6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9">
    <w:name w:val="Grid Table 6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0">
    <w:name w:val="Grid Table 6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1">
    <w:name w:val="Grid Table 6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2">
    <w:name w:val="Grid Table 6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3">
    <w:name w:val="Grid Table 7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8">
    <w:name w:val="List Table 2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9">
    <w:name w:val="List Table 2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0">
    <w:name w:val="List Table 2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1">
    <w:name w:val="List Table 2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2">
    <w:name w:val="List Table 2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3">
    <w:name w:val="List Table 2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6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6">
    <w:name w:val="List Table 6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7">
    <w:name w:val="List Table 6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8">
    <w:name w:val="List Table 6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9">
    <w:name w:val="List Table 6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0">
    <w:name w:val="List Table 6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1">
    <w:name w:val="List Table 6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2">
    <w:name w:val="List Table 7 Colorful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3">
    <w:name w:val="List Table 7 Colorful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4">
    <w:name w:val="List Table 7 Colorful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5">
    <w:name w:val="List Table 7 Colorful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6">
    <w:name w:val="List Table 7 Colorful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7">
    <w:name w:val="List Table 7 Colorful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8">
    <w:name w:val="List Table 7 Colorful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9">
    <w:name w:val="Lined - Accent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Lined - Accent 1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1">
    <w:name w:val="Lined - Accent 2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2">
    <w:name w:val="Lined - Accent 3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3">
    <w:name w:val="Lined - Accent 4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4">
    <w:name w:val="Lined - Accent 5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5">
    <w:name w:val="Lined - Accent 6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6">
    <w:name w:val="Bordered &amp; Lined - Accent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Bordered &amp; Lined - Accent 1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Bordered &amp; Lined - Accent 2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Bordered &amp; Lined - Accent 3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Bordered &amp; Lined - Accent 4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Bordered &amp; Lined - Accent 5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Bordered &amp; Lined - Accent 6"/>
    <w:basedOn w:val="9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4">
    <w:name w:val="Bordered - Accent 1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5">
    <w:name w:val="Bordered - Accent 2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6">
    <w:name w:val="Bordered - Accent 3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7">
    <w:name w:val="Bordered - Accent 4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8">
    <w:name w:val="Bordered - Accent 5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9">
    <w:name w:val="Bordered - Accent 6"/>
    <w:basedOn w:val="9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0">
    <w:name w:val="footnote text"/>
    <w:basedOn w:val="917"/>
    <w:link w:val="901"/>
    <w:uiPriority w:val="99"/>
    <w:semiHidden/>
    <w:unhideWhenUsed/>
    <w:pPr>
      <w:spacing w:after="40" w:line="240" w:lineRule="auto"/>
    </w:pPr>
    <w:rPr>
      <w:sz w:val="18"/>
    </w:rPr>
  </w:style>
  <w:style w:type="character" w:styleId="901">
    <w:name w:val="Footnote Text Char"/>
    <w:link w:val="900"/>
    <w:uiPriority w:val="99"/>
    <w:rPr>
      <w:sz w:val="18"/>
    </w:rPr>
  </w:style>
  <w:style w:type="character" w:styleId="902">
    <w:name w:val="footnote reference"/>
    <w:basedOn w:val="918"/>
    <w:uiPriority w:val="99"/>
    <w:unhideWhenUsed/>
    <w:rPr>
      <w:vertAlign w:val="superscript"/>
    </w:rPr>
  </w:style>
  <w:style w:type="paragraph" w:styleId="903">
    <w:name w:val="endnote text"/>
    <w:basedOn w:val="917"/>
    <w:link w:val="904"/>
    <w:uiPriority w:val="99"/>
    <w:semiHidden/>
    <w:unhideWhenUsed/>
    <w:pPr>
      <w:spacing w:after="0" w:line="240" w:lineRule="auto"/>
    </w:pPr>
    <w:rPr>
      <w:sz w:val="20"/>
    </w:rPr>
  </w:style>
  <w:style w:type="character" w:styleId="904">
    <w:name w:val="Endnote Text Char"/>
    <w:link w:val="903"/>
    <w:uiPriority w:val="99"/>
    <w:rPr>
      <w:sz w:val="20"/>
    </w:rPr>
  </w:style>
  <w:style w:type="character" w:styleId="905">
    <w:name w:val="endnote reference"/>
    <w:basedOn w:val="918"/>
    <w:uiPriority w:val="99"/>
    <w:semiHidden/>
    <w:unhideWhenUsed/>
    <w:rPr>
      <w:vertAlign w:val="superscript"/>
    </w:rPr>
  </w:style>
  <w:style w:type="paragraph" w:styleId="906">
    <w:name w:val="toc 1"/>
    <w:basedOn w:val="917"/>
    <w:next w:val="917"/>
    <w:uiPriority w:val="39"/>
    <w:unhideWhenUsed/>
    <w:pPr>
      <w:ind w:left="0" w:right="0" w:firstLine="0"/>
      <w:spacing w:after="57"/>
    </w:pPr>
  </w:style>
  <w:style w:type="paragraph" w:styleId="907">
    <w:name w:val="toc 2"/>
    <w:basedOn w:val="917"/>
    <w:next w:val="917"/>
    <w:uiPriority w:val="39"/>
    <w:unhideWhenUsed/>
    <w:pPr>
      <w:ind w:left="283" w:right="0" w:firstLine="0"/>
      <w:spacing w:after="57"/>
    </w:pPr>
  </w:style>
  <w:style w:type="paragraph" w:styleId="908">
    <w:name w:val="toc 3"/>
    <w:basedOn w:val="917"/>
    <w:next w:val="917"/>
    <w:uiPriority w:val="39"/>
    <w:unhideWhenUsed/>
    <w:pPr>
      <w:ind w:left="567" w:right="0" w:firstLine="0"/>
      <w:spacing w:after="57"/>
    </w:pPr>
  </w:style>
  <w:style w:type="paragraph" w:styleId="909">
    <w:name w:val="toc 4"/>
    <w:basedOn w:val="917"/>
    <w:next w:val="917"/>
    <w:uiPriority w:val="39"/>
    <w:unhideWhenUsed/>
    <w:pPr>
      <w:ind w:left="850" w:right="0" w:firstLine="0"/>
      <w:spacing w:after="57"/>
    </w:pPr>
  </w:style>
  <w:style w:type="paragraph" w:styleId="910">
    <w:name w:val="toc 5"/>
    <w:basedOn w:val="917"/>
    <w:next w:val="917"/>
    <w:uiPriority w:val="39"/>
    <w:unhideWhenUsed/>
    <w:pPr>
      <w:ind w:left="1134" w:right="0" w:firstLine="0"/>
      <w:spacing w:after="57"/>
    </w:pPr>
  </w:style>
  <w:style w:type="paragraph" w:styleId="911">
    <w:name w:val="toc 6"/>
    <w:basedOn w:val="917"/>
    <w:next w:val="917"/>
    <w:uiPriority w:val="39"/>
    <w:unhideWhenUsed/>
    <w:pPr>
      <w:ind w:left="1417" w:right="0" w:firstLine="0"/>
      <w:spacing w:after="57"/>
    </w:pPr>
  </w:style>
  <w:style w:type="paragraph" w:styleId="912">
    <w:name w:val="toc 7"/>
    <w:basedOn w:val="917"/>
    <w:next w:val="917"/>
    <w:uiPriority w:val="39"/>
    <w:unhideWhenUsed/>
    <w:pPr>
      <w:ind w:left="1701" w:right="0" w:firstLine="0"/>
      <w:spacing w:after="57"/>
    </w:pPr>
  </w:style>
  <w:style w:type="paragraph" w:styleId="913">
    <w:name w:val="toc 8"/>
    <w:basedOn w:val="917"/>
    <w:next w:val="917"/>
    <w:uiPriority w:val="39"/>
    <w:unhideWhenUsed/>
    <w:pPr>
      <w:ind w:left="1984" w:right="0" w:firstLine="0"/>
      <w:spacing w:after="57"/>
    </w:pPr>
  </w:style>
  <w:style w:type="paragraph" w:styleId="914">
    <w:name w:val="toc 9"/>
    <w:basedOn w:val="917"/>
    <w:next w:val="917"/>
    <w:uiPriority w:val="39"/>
    <w:unhideWhenUsed/>
    <w:pPr>
      <w:ind w:left="2268" w:right="0" w:firstLine="0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917"/>
    <w:next w:val="917"/>
    <w:uiPriority w:val="99"/>
    <w:unhideWhenUsed/>
    <w:pPr>
      <w:spacing w:after="0" w:afterAutospacing="0"/>
    </w:pPr>
  </w:style>
  <w:style w:type="paragraph" w:styleId="917" w:default="1">
    <w:name w:val="Normal"/>
    <w:qFormat/>
    <w:rPr>
      <w:sz w:val="24"/>
      <w:szCs w:val="24"/>
    </w:rPr>
  </w:style>
  <w:style w:type="character" w:styleId="918" w:default="1">
    <w:name w:val="Default Paragraph Font"/>
    <w:uiPriority w:val="1"/>
    <w:semiHidden/>
    <w:unhideWhenUsed/>
  </w:style>
  <w:style w:type="table" w:styleId="9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0" w:default="1">
    <w:name w:val="No List"/>
    <w:uiPriority w:val="99"/>
    <w:semiHidden/>
    <w:unhideWhenUsed/>
  </w:style>
  <w:style w:type="character" w:styleId="921">
    <w:name w:val="Strong"/>
    <w:qFormat/>
    <w:rPr>
      <w:b/>
      <w:bCs/>
    </w:rPr>
  </w:style>
  <w:style w:type="paragraph" w:styleId="922">
    <w:name w:val="Document Map"/>
    <w:basedOn w:val="917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23">
    <w:name w:val="Table Grid"/>
    <w:basedOn w:val="91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4">
    <w:name w:val="Footer"/>
    <w:basedOn w:val="917"/>
    <w:link w:val="937"/>
    <w:uiPriority w:val="99"/>
    <w:pPr>
      <w:tabs>
        <w:tab w:val="center" w:pos="4677" w:leader="none"/>
        <w:tab w:val="right" w:pos="9355" w:leader="none"/>
      </w:tabs>
    </w:pPr>
  </w:style>
  <w:style w:type="character" w:styleId="925">
    <w:name w:val="page number"/>
    <w:basedOn w:val="918"/>
  </w:style>
  <w:style w:type="paragraph" w:styleId="926">
    <w:name w:val="List Paragraph"/>
    <w:basedOn w:val="917"/>
    <w:uiPriority w:val="34"/>
    <w:qFormat/>
    <w:pPr>
      <w:contextualSpacing/>
      <w:ind w:left="720"/>
    </w:pPr>
  </w:style>
  <w:style w:type="paragraph" w:styleId="927">
    <w:name w:val="Balloon Text"/>
    <w:basedOn w:val="917"/>
    <w:link w:val="928"/>
    <w:uiPriority w:val="99"/>
    <w:semiHidden/>
    <w:unhideWhenUsed/>
    <w:rPr>
      <w:rFonts w:ascii="Tahoma" w:hAnsi="Tahoma"/>
      <w:sz w:val="16"/>
      <w:szCs w:val="16"/>
    </w:rPr>
  </w:style>
  <w:style w:type="character" w:styleId="928" w:customStyle="1">
    <w:name w:val="Текст выноски Знак"/>
    <w:link w:val="927"/>
    <w:uiPriority w:val="99"/>
    <w:semiHidden/>
    <w:rPr>
      <w:rFonts w:ascii="Tahoma" w:hAnsi="Tahoma" w:cs="Tahoma"/>
      <w:sz w:val="16"/>
      <w:szCs w:val="16"/>
    </w:rPr>
  </w:style>
  <w:style w:type="character" w:styleId="929">
    <w:name w:val="Hyperlink"/>
    <w:uiPriority w:val="99"/>
    <w:unhideWhenUsed/>
    <w:rPr>
      <w:color w:val="0000ff"/>
      <w:u w:val="single"/>
    </w:rPr>
  </w:style>
  <w:style w:type="paragraph" w:styleId="930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31">
    <w:name w:val="Header"/>
    <w:basedOn w:val="917"/>
    <w:link w:val="9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2" w:customStyle="1">
    <w:name w:val="Верхний колонтитул Знак"/>
    <w:link w:val="931"/>
    <w:uiPriority w:val="99"/>
    <w:rPr>
      <w:sz w:val="24"/>
      <w:szCs w:val="24"/>
    </w:rPr>
  </w:style>
  <w:style w:type="paragraph" w:styleId="933">
    <w:name w:val="Normal (Web)"/>
    <w:basedOn w:val="917"/>
    <w:link w:val="934"/>
    <w:pPr>
      <w:spacing w:before="100" w:beforeAutospacing="1" w:after="100" w:afterAutospacing="1"/>
    </w:pPr>
  </w:style>
  <w:style w:type="character" w:styleId="934" w:customStyle="1">
    <w:name w:val="Обычный (веб) Знак"/>
    <w:link w:val="933"/>
    <w:rPr>
      <w:sz w:val="24"/>
      <w:szCs w:val="24"/>
    </w:rPr>
  </w:style>
  <w:style w:type="paragraph" w:styleId="935">
    <w:name w:val="Body Text Indent 3"/>
    <w:basedOn w:val="917"/>
    <w:link w:val="936"/>
    <w:pPr>
      <w:ind w:right="-143" w:firstLine="709"/>
      <w:jc w:val="both"/>
    </w:pPr>
    <w:rPr>
      <w:sz w:val="28"/>
      <w:szCs w:val="28"/>
    </w:rPr>
  </w:style>
  <w:style w:type="character" w:styleId="936" w:customStyle="1">
    <w:name w:val="Основной текст с отступом 3 Знак"/>
    <w:link w:val="935"/>
    <w:rPr>
      <w:sz w:val="28"/>
      <w:szCs w:val="28"/>
    </w:rPr>
  </w:style>
  <w:style w:type="character" w:styleId="937" w:customStyle="1">
    <w:name w:val="Нижний колонтитул Знак"/>
    <w:link w:val="924"/>
    <w:uiPriority w:val="99"/>
    <w:rPr>
      <w:sz w:val="24"/>
      <w:szCs w:val="24"/>
    </w:rPr>
  </w:style>
  <w:style w:type="paragraph" w:styleId="938">
    <w:name w:val="Body Text Indent"/>
    <w:basedOn w:val="917"/>
    <w:link w:val="939"/>
    <w:uiPriority w:val="99"/>
    <w:semiHidden/>
    <w:unhideWhenUsed/>
    <w:pPr>
      <w:ind w:left="283"/>
      <w:spacing w:after="120"/>
    </w:pPr>
  </w:style>
  <w:style w:type="character" w:styleId="939" w:customStyle="1">
    <w:name w:val="Основной текст с отступом Знак"/>
    <w:basedOn w:val="918"/>
    <w:link w:val="938"/>
    <w:uiPriority w:val="99"/>
    <w:semiHidden/>
    <w:rPr>
      <w:sz w:val="24"/>
      <w:szCs w:val="24"/>
    </w:rPr>
  </w:style>
  <w:style w:type="paragraph" w:styleId="940" w:customStyle="1">
    <w:name w:val="ConsPlusNormal"/>
    <w:rPr>
      <w:sz w:val="28"/>
      <w:szCs w:val="28"/>
    </w:rPr>
  </w:style>
  <w:style w:type="paragraph" w:styleId="941" w:customStyle="1">
    <w:name w:val="Табличный_боковик_11"/>
    <w:link w:val="942"/>
    <w:qFormat/>
    <w:rPr>
      <w:sz w:val="22"/>
      <w:szCs w:val="24"/>
    </w:rPr>
  </w:style>
  <w:style w:type="character" w:styleId="942" w:customStyle="1">
    <w:name w:val="Табличный_боковик_11 Знак"/>
    <w:link w:val="941"/>
    <w:rPr>
      <w:sz w:val="22"/>
      <w:szCs w:val="24"/>
    </w:rPr>
  </w:style>
  <w:style w:type="character" w:styleId="943">
    <w:name w:val="FollowedHyperlink"/>
    <w:basedOn w:val="918"/>
    <w:uiPriority w:val="99"/>
    <w:semiHidden/>
    <w:unhideWhenUsed/>
    <w:rPr>
      <w:color w:val="800080" w:themeColor="followedHyperlink"/>
      <w:u w:val="single"/>
    </w:rPr>
  </w:style>
  <w:style w:type="paragraph" w:styleId="944" w:customStyle="1">
    <w:name w:val="Default"/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6ADA3-FEF2-4EB9-8AC2-82271D86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10</cp:revision>
  <dcterms:created xsi:type="dcterms:W3CDTF">2025-09-12T06:09:00Z</dcterms:created>
  <dcterms:modified xsi:type="dcterms:W3CDTF">2026-06-23T07:24:58Z</dcterms:modified>
</cp:coreProperties>
</file>