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Извещение о проведении аукциона в электронной форме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tabs>
          <w:tab w:val="center" w:pos="5173" w:leader="none"/>
          <w:tab w:val="left" w:pos="7764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на право заключения договора аренды земельного участка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pStyle w:val="966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извещает о проведении аукциона в электронной форме на право заключения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Организатор аукциона в электронной форме: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области, местонахождение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630007, город Новосибирск, Красный проспект, дом 18,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6"/>
          <w:szCs w:val="26"/>
        </w:rPr>
        <w:t xml:space="preserve">адрес сайта: </w:t>
      </w:r>
      <w:hyperlink r:id="rId13" w:tooltip="http://dizo.nso.ru" w:history="1">
        <w:r>
          <w:rPr>
            <w:rStyle w:val="955"/>
            <w:color w:val="000000" w:themeColor="text1"/>
            <w:sz w:val="26"/>
            <w:szCs w:val="26"/>
          </w:rPr>
          <w:t xml:space="preserve">http://dizo.nso.ru</w:t>
        </w:r>
      </w:hyperlink>
      <w:r>
        <w:rPr>
          <w:color w:val="000000" w:themeColor="text1"/>
          <w:sz w:val="26"/>
          <w:szCs w:val="26"/>
        </w:rPr>
        <w:t xml:space="preserve">, адрес электронной почты: </w:t>
      </w:r>
      <w:hyperlink r:id="rId14" w:tooltip="mailto:dgi@nso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dgi</w:t>
        </w:r>
        <w:r>
          <w:rPr>
            <w:rStyle w:val="955"/>
            <w:color w:val="000000" w:themeColor="text1"/>
            <w:sz w:val="26"/>
            <w:szCs w:val="26"/>
          </w:rPr>
          <w:t xml:space="preserve">@nso.ru</w:t>
        </w:r>
      </w:hyperlink>
      <w:r>
        <w:rPr>
          <w:color w:val="000000" w:themeColor="text1"/>
          <w:sz w:val="26"/>
          <w:szCs w:val="26"/>
        </w:rPr>
        <w:t xml:space="preserve">, телефон: +7 (383) 238-60-02.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Орган, уполномоченный на распоряжение земельным участком:</w:t>
      </w:r>
      <w:r>
        <w:rPr>
          <w:color w:val="000000" w:themeColor="text1"/>
          <w:sz w:val="26"/>
          <w:szCs w:val="26"/>
        </w:rPr>
        <w:t xml:space="preserve"> департамент имущества и земельных отношений Новосибирской области.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Реквизиты решения о проведении аукциона:</w:t>
      </w:r>
      <w:r>
        <w:rPr>
          <w:color w:val="000000" w:themeColor="text1"/>
          <w:sz w:val="26"/>
          <w:szCs w:val="26"/>
        </w:rPr>
        <w:t xml:space="preserve"> приказ департамента имущества и земельных отношений Новосибирской области от 16.04.2026 № 1041 «О проведении аукциона на право заключения договора аренды земельного участка с кадастровым номером 54:19:050201:1275».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Оператор электронной площадки:</w:t>
      </w:r>
      <w:r>
        <w:rPr>
          <w:rStyle w:val="947"/>
          <w:b w:val="0"/>
          <w:color w:val="000000" w:themeColor="text1"/>
          <w:sz w:val="26"/>
          <w:szCs w:val="26"/>
        </w:rPr>
        <w:t xml:space="preserve"> общество с ограниченной ответственностью «РТС-тендер», местонахождения: 121151, город Москва, набережная Тараса Шевченко, дом 23А,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этаж 25, помещение №1, адрес сайта: </w:t>
      </w:r>
      <w:hyperlink r:id="rId15" w:tooltip="http://www.rts-tender.ru" w:history="1">
        <w:r>
          <w:rPr>
            <w:rStyle w:val="955"/>
            <w:color w:val="000000" w:themeColor="text1"/>
            <w:sz w:val="26"/>
            <w:szCs w:val="26"/>
          </w:rPr>
          <w:t xml:space="preserve">www.rts-tender.ru</w:t>
        </w:r>
      </w:hyperlink>
      <w:r>
        <w:rPr>
          <w:rStyle w:val="947"/>
          <w:b w:val="0"/>
          <w:color w:val="000000" w:themeColor="text1"/>
          <w:sz w:val="26"/>
          <w:szCs w:val="26"/>
        </w:rPr>
        <w:t xml:space="preserve">, адрес электронной почты: </w:t>
      </w:r>
      <w:hyperlink r:id="rId16" w:tooltip="mailto:iSupport@rts-tender.ru" w:history="1">
        <w:r>
          <w:rPr>
            <w:rStyle w:val="955"/>
            <w:color w:val="000000" w:themeColor="text1"/>
            <w:sz w:val="26"/>
            <w:szCs w:val="26"/>
          </w:rPr>
          <w:t xml:space="preserve">iSupport@rts-tender.ru</w:t>
        </w:r>
      </w:hyperlink>
      <w:r>
        <w:rPr>
          <w:rStyle w:val="947"/>
          <w:b w:val="0"/>
          <w:color w:val="000000" w:themeColor="text1"/>
          <w:sz w:val="26"/>
          <w:szCs w:val="26"/>
        </w:rPr>
        <w:t xml:space="preserve">, телефон: +7 (499) 653-55-00.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Форма торгов: </w:t>
      </w:r>
      <w:r>
        <w:rPr>
          <w:rStyle w:val="947"/>
          <w:b w:val="0"/>
          <w:color w:val="000000" w:themeColor="text1"/>
          <w:sz w:val="26"/>
          <w:szCs w:val="26"/>
        </w:rPr>
        <w:t xml:space="preserve">аукцион в электронной форме, открытый по форме подачи предложений и по составу участников.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проведения аукциона:</w:t>
      </w:r>
      <w:r>
        <w:rPr>
          <w:color w:val="000000" w:themeColor="text1"/>
          <w:sz w:val="26"/>
          <w:szCs w:val="26"/>
        </w:rPr>
        <w:t xml:space="preserve"> 04 августа 2026 года.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Время проведения аукциона:</w:t>
      </w:r>
      <w:r>
        <w:rPr>
          <w:color w:val="000000" w:themeColor="text1"/>
          <w:sz w:val="26"/>
          <w:szCs w:val="26"/>
        </w:rPr>
        <w:t xml:space="preserve"> 10:00 по местному времени.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rStyle w:val="947"/>
          <w:color w:val="000000" w:themeColor="text1"/>
          <w:sz w:val="26"/>
          <w:szCs w:val="26"/>
        </w:rPr>
        <w:t xml:space="preserve">Порядок проведения аукциона:</w:t>
      </w:r>
      <w:r>
        <w:rPr>
          <w:color w:val="000000" w:themeColor="text1"/>
          <w:sz w:val="26"/>
          <w:szCs w:val="26"/>
        </w:rPr>
        <w:t xml:space="preserve"> оператор электронной площадки обеспечивает участникам возможность принять участие в аукционе. Аукцион проводится путем повышения начальной цены предмета аукциона на «шаг аукциона».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Если в течение 10 (десяти) минут со </w:t>
      </w:r>
      <w:r>
        <w:rPr>
          <w:color w:val="000000" w:themeColor="text1"/>
          <w:sz w:val="26"/>
          <w:szCs w:val="26"/>
        </w:rPr>
        <w:t xml:space="preserve">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Аукцион завершается,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Победителем признается участник, предложивший наибольшую цену предмета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Ход проведения процедуры аукциона фиксируется операт</w:t>
      </w:r>
      <w:r>
        <w:rPr>
          <w:color w:val="000000" w:themeColor="text1"/>
          <w:sz w:val="26"/>
          <w:szCs w:val="26"/>
        </w:rPr>
        <w:t xml:space="preserve">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  <w:outlineLvl w:val="0"/>
      </w:pPr>
      <w:r>
        <w:rPr>
          <w:color w:val="000000" w:themeColor="text1"/>
          <w:sz w:val="26"/>
          <w:szCs w:val="26"/>
        </w:rPr>
        <w:t xml:space="preserve">Протокол о результатах аукциона публикуется организатором аукциона на электронной площадке.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Предмет аукциона:</w:t>
      </w:r>
      <w:r>
        <w:rPr>
          <w:color w:val="000000" w:themeColor="text1"/>
          <w:sz w:val="26"/>
          <w:szCs w:val="26"/>
        </w:rPr>
        <w:t xml:space="preserve"> право на заключение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center"/>
        <w:keepNext/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Лот № 1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Земельный участок, государственная собственность на который не разграничена, с кадастровым номером 54:19:050201:1275, площадью 1384 </w:t>
      </w:r>
      <w:r>
        <w:rPr>
          <w:color w:val="000000" w:themeColor="text1"/>
          <w:sz w:val="26"/>
          <w:szCs w:val="26"/>
        </w:rPr>
        <w:t xml:space="preserve">кв.м</w:t>
      </w:r>
      <w:r>
        <w:rPr>
          <w:color w:val="000000" w:themeColor="text1"/>
          <w:sz w:val="26"/>
          <w:szCs w:val="26"/>
        </w:rPr>
        <w:t xml:space="preserve">, местоположение: Российская Федерация, Новосибирская область, Новосибирский район, Боровского сельсовета, с. Береговое</w:t>
      </w:r>
      <w:r>
        <w:rPr>
          <w:color w:val="000000" w:themeColor="text1"/>
          <w:sz w:val="26"/>
          <w:szCs w:val="26"/>
        </w:rPr>
        <w:t xml:space="preserve">, категория земель: земли населенных пунктов, разрешенное использование: для ведения личного подсобного хозяйства (приусадебный земельный участок) (2.2).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Ограничение прав и обременение земельного участка: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pStyle w:val="952"/>
        <w:numPr>
          <w:ilvl w:val="0"/>
          <w:numId w:val="24"/>
        </w:numPr>
        <w:ind w:left="0" w:right="-23" w:firstLine="567"/>
        <w:jc w:val="both"/>
        <w:shd w:val="clear" w:color="auto" w:fill="ffffff"/>
        <w:tabs>
          <w:tab w:val="left" w:pos="993" w:leader="none"/>
        </w:tabs>
        <w:rPr>
          <w:color w:val="000000" w:themeColor="text1"/>
        </w:rPr>
      </w:pPr>
      <w:r>
        <w:rPr>
          <w:color w:val="000000" w:themeColor="text1"/>
          <w:sz w:val="26"/>
          <w:szCs w:val="26"/>
        </w:rPr>
        <w:t xml:space="preserve">ЗОУИТ 54:19-6.1151 - Охранная зона ЛЭП-0.4 кВ с.Береговое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</w:rPr>
      </w:pPr>
      <w:r>
        <w:rPr>
          <w:b/>
          <w:bCs/>
          <w:color w:val="000000" w:themeColor="text1"/>
          <w:sz w:val="26"/>
          <w:szCs w:val="26"/>
        </w:rPr>
        <w:t xml:space="preserve">Дополнительные сведения о земельном участке: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Через испрашиваемую территорию проходит линия электропередач.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Требование к участникам аукциона: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соответствии с абзацем 2 пункта 10 статьи 39.11 Земельного кодекса Российской Федерации участниками аукциона, проводимого в случае, предусмотренном пунктом 7 статьи 39.18 Земельного кодекса Российской Федерации, могут являться только граждане.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Получение электронной подписи и регистрация (аккредитация) на электронной площадке: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Для обеспечения доступа к участию в электронном аукционе Претенденту необходимо пройти процедуру р</w:t>
      </w:r>
      <w:r>
        <w:rPr>
          <w:rStyle w:val="947"/>
          <w:b w:val="0"/>
          <w:color w:val="000000" w:themeColor="text1"/>
          <w:sz w:val="26"/>
          <w:szCs w:val="26"/>
        </w:rPr>
        <w:t xml:space="preserve">егистрации на официальном сайте торгов Российской Федерации www.torgi.gov.ru (далее – ГИС Торги). Регистрация в ГИС Торги претендентов на участие в аукционе осуществляется ежедневно, круглосуточно. Регистрация в ГИС Торги осуществляется без взимания платы.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Пройд</w:t>
      </w:r>
      <w:r>
        <w:rPr>
          <w:rStyle w:val="947"/>
          <w:b w:val="0"/>
          <w:color w:val="000000" w:themeColor="text1"/>
          <w:sz w:val="26"/>
          <w:szCs w:val="26"/>
        </w:rPr>
        <w:t xml:space="preserve">я регистрацию в ГИС Торги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 1447-р, без прохождения дополнительных проверок и направления документов.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После регистраци</w:t>
      </w:r>
      <w:r>
        <w:rPr>
          <w:rStyle w:val="947"/>
          <w:b w:val="0"/>
          <w:color w:val="000000" w:themeColor="text1"/>
          <w:sz w:val="26"/>
          <w:szCs w:val="26"/>
        </w:rPr>
        <w:t xml:space="preserve">и в ГИС Торги информация автоматически направляется на электронные площадки по защищённым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если Пр</w:t>
      </w:r>
      <w:r>
        <w:rPr>
          <w:rStyle w:val="947"/>
          <w:b w:val="0"/>
          <w:color w:val="000000" w:themeColor="text1"/>
          <w:sz w:val="26"/>
          <w:szCs w:val="26"/>
        </w:rPr>
        <w:t xml:space="preserve">етендент (юридическое лицо или индивидуальный предприниматель) передает полномочия на участие в торгах иному лицу по доверенности, то доверенному лицу также необходимо пройти регистрацию в ГИС Торги. При этом такому представителю необходимо иметь машиночит</w:t>
      </w:r>
      <w:r>
        <w:rPr>
          <w:rStyle w:val="947"/>
          <w:b w:val="0"/>
          <w:color w:val="000000" w:themeColor="text1"/>
          <w:sz w:val="26"/>
          <w:szCs w:val="26"/>
        </w:rPr>
        <w:t xml:space="preserve">аемую доверенность выданную в соответствии с Федеральным законом «Об электронной подписи» №63-ФЗ от 06.04.2011 для возможности участвовать в электронных торгах, заверять документы электронной подписью (далее – ЭП) и загружать их на государственные порталы.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Регистрации в ГИС Торги подлежат Претенденты, ранее не зарегистрированные</w:t>
      </w:r>
      <w:r>
        <w:rPr>
          <w:rStyle w:val="947"/>
          <w:b w:val="0"/>
          <w:color w:val="000000" w:themeColor="text1"/>
          <w:sz w:val="26"/>
          <w:szCs w:val="26"/>
        </w:rPr>
        <w:br/>
        <w:t xml:space="preserve">в ГИС Торги или регистрация которых в ГИС Торги была ими прекращена.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Подробно с информацией о регистрации в ГИС Торги можно ознакомиться на сайте в руководстве пользователя, размещенной в открытой части ГИС Торги в разделе «Служба поддержки» «Информационные материалы».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Для обеспечения доступа к под</w:t>
      </w:r>
      <w:r>
        <w:rPr>
          <w:rStyle w:val="947"/>
          <w:b w:val="0"/>
          <w:color w:val="000000" w:themeColor="text1"/>
          <w:sz w:val="26"/>
          <w:szCs w:val="26"/>
        </w:rPr>
        <w:t xml:space="preserve">аче заявки и к участию в аукционе заявителю необходимо пройти аккредитацию на электронной площадке в соответствии с регламентом оператора электронной площадки и инструкциями претендента. Регламент, определяющий правила функционирования электронной площадки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расположен в информационно-телекоммуникационной сети «Интернет»</w:t>
      </w:r>
      <w:r>
        <w:rPr>
          <w:color w:val="000000" w:themeColor="text1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по адресу: </w:t>
      </w:r>
      <w:hyperlink r:id="rId17" w:tooltip="https://www.rts-tender.ru/platform-rules/platform-property-sales" w:history="1">
        <w:r>
          <w:rPr>
            <w:rStyle w:val="955"/>
            <w:bCs/>
            <w:color w:val="000000" w:themeColor="text1"/>
            <w:sz w:val="26"/>
            <w:szCs w:val="26"/>
          </w:rPr>
          <w:t xml:space="preserve">https://www.rts-tender.ru/platform-rules/platform-property-sales</w:t>
        </w:r>
      </w:hyperlink>
      <w:r>
        <w:rPr>
          <w:rStyle w:val="955"/>
          <w:bCs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  <w:t xml:space="preserve">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Сведения о размере платы взимаемой с победителя электронного аукциона или иных лиц, с которыми в соответствии с пунктами 13, 14, 20 и 25 статьи 39.12 Земельного кодекса Российской Федерации заключается договор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Передача денежных средств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«РТС-тендер» имущественные торги.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Тариф (гарантийное обеспечение оплаты услуг), размещён по адресу: </w:t>
      </w:r>
      <w:hyperlink r:id="rId18" w:tooltip="https://www.rts-tender.ru/tariffs/platform-property-sales-tariffs" w:history="1">
        <w:r>
          <w:rPr>
            <w:rStyle w:val="955"/>
            <w:color w:val="000000" w:themeColor="text1"/>
            <w:sz w:val="26"/>
            <w:szCs w:val="26"/>
          </w:rPr>
          <w:t xml:space="preserve">https://www.rts-tender.ru/tariffs/platform-property-sales-tariffs</w:t>
        </w:r>
      </w:hyperlink>
      <w:r>
        <w:rPr>
          <w:color w:val="000000" w:themeColor="text1"/>
          <w:sz w:val="26"/>
          <w:szCs w:val="26"/>
        </w:rPr>
        <w:t xml:space="preserve">. Размер тарифа – в</w:t>
      </w:r>
      <w:r>
        <w:rPr>
          <w:color w:val="000000" w:themeColor="text1"/>
          <w:sz w:val="26"/>
          <w:szCs w:val="26"/>
        </w:rPr>
        <w:t xml:space="preserve">ознаграждение с Участников не взимается.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Заключение договора</w:t>
      </w:r>
      <w:r>
        <w:rPr>
          <w:color w:val="000000" w:themeColor="text1"/>
        </w:rPr>
        <w:t xml:space="preserve"> </w:t>
      </w:r>
      <w:r>
        <w:rPr>
          <w:rStyle w:val="947"/>
          <w:color w:val="000000" w:themeColor="text1"/>
          <w:sz w:val="26"/>
          <w:szCs w:val="26"/>
        </w:rPr>
        <w:t xml:space="preserve">в электронной форме: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Для заключения договора в электронной форме покупатель/арендатор должен быть зарегистрирован в ГИС Торги в качестве участника торгов.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Заключение электронного договора осуществляется в разделе «Договоры», подраздел «Заключение договоров в ГИС Торги».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Начальная цена предмета аукциона: </w:t>
      </w:r>
      <w:r>
        <w:rPr>
          <w:rStyle w:val="947"/>
          <w:b w:val="0"/>
          <w:color w:val="000000" w:themeColor="text1"/>
          <w:sz w:val="26"/>
          <w:szCs w:val="26"/>
        </w:rPr>
        <w:t xml:space="preserve">83 000 (восемьдесят три тысячи) рублей 00 копеек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Шаг аукциона: </w:t>
      </w:r>
      <w:r>
        <w:rPr>
          <w:color w:val="000000" w:themeColor="text1"/>
          <w:sz w:val="26"/>
          <w:szCs w:val="26"/>
        </w:rPr>
        <w:t xml:space="preserve">4 150 (четыре тысячи сто пятьдесят) рублей 00 копеек.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b/>
          <w:color w:val="000000" w:themeColor="text1"/>
          <w:sz w:val="26"/>
          <w:szCs w:val="26"/>
        </w:rPr>
        <w:t xml:space="preserve">Параметры разрешенного строительства объекта капитального строительства:</w:t>
      </w:r>
      <w:r>
        <w:rPr>
          <w:color w:val="000000" w:themeColor="text1"/>
          <w:sz w:val="26"/>
          <w:szCs w:val="26"/>
        </w:rPr>
        <w:t xml:space="preserve"> в соответствии с Правилами землепользования и застройки Боровск</w:t>
      </w:r>
      <w:r>
        <w:rPr>
          <w:color w:val="000000" w:themeColor="text1"/>
          <w:sz w:val="26"/>
          <w:szCs w:val="26"/>
        </w:rPr>
        <w:t xml:space="preserve">ого</w:t>
      </w:r>
      <w:r>
        <w:rPr>
          <w:color w:val="000000" w:themeColor="text1"/>
          <w:sz w:val="26"/>
          <w:szCs w:val="26"/>
        </w:rPr>
        <w:t xml:space="preserve"> сельсовета Новосибирского района Новосибирской области утвержденными приказом министерства строительства Новосибирской области </w:t>
      </w:r>
      <w:r>
        <w:rPr>
          <w:color w:val="000000" w:themeColor="text1"/>
          <w:sz w:val="26"/>
          <w:szCs w:val="26"/>
        </w:rPr>
        <w:t xml:space="preserve">от 29.12.2020 № 698 (ред. от 15.06.2026)</w:t>
      </w:r>
      <w:r>
        <w:rPr>
          <w:color w:val="000000" w:themeColor="text1"/>
          <w:sz w:val="26"/>
          <w:szCs w:val="26"/>
        </w:rPr>
        <w:t xml:space="preserve">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4"/>
        <w:gridCol w:w="741"/>
        <w:gridCol w:w="782"/>
        <w:gridCol w:w="1794"/>
        <w:gridCol w:w="651"/>
        <w:gridCol w:w="651"/>
        <w:gridCol w:w="1142"/>
        <w:gridCol w:w="1142"/>
      </w:tblGrid>
      <w:tr>
        <w:tblPrEx/>
        <w:trPr>
          <w:tblHeader/>
        </w:trPr>
        <w:tc>
          <w:tcPr>
            <w:tcW w:w="1415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Наименование территориальная зона/вида разрешенного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использования (код вида)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7"/>
            <w:shd w:val="clear" w:color="auto" w:fill="ffffff"/>
            <w:tcW w:w="35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blHeader/>
        </w:trPr>
        <w:tc>
          <w:tcPr>
            <w:tcW w:w="1415" w:type="pct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shd w:val="clear" w:color="auto" w:fill="ffffff"/>
            <w:tcW w:w="385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406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 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(га)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Отступ 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(м)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338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Этаж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min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ffffff"/>
            <w:tcW w:w="593" w:type="pct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Процент застройки </w:t>
            </w:r>
            <w:r>
              <w:rPr>
                <w:color w:val="000000" w:themeColor="text1"/>
              </w:rPr>
              <w:t xml:space="preserve">max</w:t>
            </w:r>
            <w:r>
              <w:rPr>
                <w:color w:val="000000" w:themeColor="text1"/>
              </w:rPr>
              <w:t xml:space="preserve">, (%)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"/>
        </w:trPr>
        <w:tc>
          <w:tcPr>
            <w:tcW w:w="1415" w:type="pct"/>
            <w:textDirection w:val="lrTb"/>
            <w:noWrap w:val="false"/>
          </w:tcPr>
          <w:p>
            <w:pPr>
              <w:pStyle w:val="97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ведения личного подсобного хозяйства (приусадебный земельный участок) (2.2)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5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0,03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06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0,3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rStyle w:val="973"/>
                <w:color w:val="000000" w:themeColor="text1"/>
                <w:sz w:val="24"/>
              </w:rPr>
              <w:footnoteReference w:id="2"/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38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3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593" w:type="pct"/>
            <w:vAlign w:val="center"/>
            <w:textDirection w:val="lrTb"/>
            <w:noWrap w:val="false"/>
          </w:tcPr>
          <w:p>
            <w:pPr>
              <w:pStyle w:val="96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50</w:t>
            </w:r>
            <w:r>
              <w:rPr>
                <w:color w:val="000000" w:themeColor="text1"/>
                <w:sz w:val="24"/>
              </w:rPr>
            </w:r>
            <w:r>
              <w:rPr>
                <w:color w:val="000000" w:themeColor="text1"/>
                <w:sz w:val="24"/>
              </w:rPr>
            </w:r>
          </w:p>
        </w:tc>
      </w:tr>
    </w:tbl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/>
          <w:bCs/>
          <w:color w:val="000000" w:themeColor="text1"/>
          <w:sz w:val="26"/>
          <w:szCs w:val="26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электроснабжения):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водоснабжения (холодное)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водоотведения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Сети теплоснабжения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Газоснабжение – возможность подключения отсутствует.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Связь – подключение возможно к сетям ПАО «Ростелеком».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right="-22" w:firstLine="709"/>
        <w:jc w:val="both"/>
        <w:keepNext/>
        <w:shd w:val="clear" w:color="auto" w:fill="ffffff"/>
        <w:tabs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Порядок, адрес, дата и время начала и окончания приема заявок на участие в аукционе: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Один заявитель вправе подать только одну заявку на участие в аукционе.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Форма заявки на участие в аукционе приведена в приложении к настоящему извещению.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Место приема заявок на участие в аукционе</w:t>
      </w:r>
      <w:r>
        <w:rPr>
          <w:rStyle w:val="947"/>
          <w:b w:val="0"/>
          <w:color w:val="000000" w:themeColor="text1"/>
          <w:sz w:val="26"/>
          <w:szCs w:val="26"/>
        </w:rPr>
        <w:t xml:space="preserve">: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</w:t>
      </w:r>
      <w:r>
        <w:rPr>
          <w:color w:val="000000" w:themeColor="text1"/>
          <w:sz w:val="26"/>
          <w:szCs w:val="26"/>
        </w:rPr>
        <w:t xml:space="preserve">.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и время начала приема заявок:</w:t>
      </w:r>
      <w:r>
        <w:rPr>
          <w:rStyle w:val="947"/>
          <w:b w:val="0"/>
          <w:color w:val="000000" w:themeColor="text1"/>
          <w:sz w:val="26"/>
          <w:szCs w:val="26"/>
        </w:rPr>
        <w:t xml:space="preserve"> 11 июля 2026 года в 00-00 по местному времени. Прием заявок осуществляется круглосуточно.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и время окончания приема заявок:</w:t>
      </w:r>
      <w:r>
        <w:rPr>
          <w:rStyle w:val="947"/>
          <w:b w:val="0"/>
          <w:color w:val="000000" w:themeColor="text1"/>
          <w:sz w:val="26"/>
          <w:szCs w:val="26"/>
        </w:rPr>
        <w:t xml:space="preserve"> 29 июля 2026 года до 23-00 по местному времени.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Дата </w:t>
      </w:r>
      <w:r>
        <w:rPr>
          <w:rStyle w:val="947"/>
          <w:color w:val="000000" w:themeColor="text1"/>
          <w:sz w:val="26"/>
          <w:szCs w:val="26"/>
        </w:rPr>
        <w:t xml:space="preserve">определения участников аукциона: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03 августа 2026 года.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Организатор аукциона рассматривает заявки и устанавливает факт поступления от заявителей задатков. По результатам рассмотрения документов организатор аукциона принимает реше</w:t>
      </w:r>
      <w:r>
        <w:rPr>
          <w:color w:val="000000" w:themeColor="text1"/>
          <w:sz w:val="26"/>
          <w:szCs w:val="26"/>
        </w:rPr>
        <w:t xml:space="preserve">ние о признании заявителей участниками аукциона или об отказе в допуске заявителей к участию в аукционе, которое оформляется протоколом. Заявитель приобретает статус участника аукциона с даты подписания организатором аукциона протокола рассмотрения заявок.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b w:val="0"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Дата, время и место проведения аукциона: </w:t>
      </w:r>
      <w:r>
        <w:rPr>
          <w:rStyle w:val="947"/>
          <w:b w:val="0"/>
          <w:color w:val="000000" w:themeColor="text1"/>
          <w:sz w:val="26"/>
          <w:szCs w:val="26"/>
        </w:rPr>
        <w:t xml:space="preserve">04 августа 2026 года в 10:00 по местному времени электронная площадка </w:t>
      </w:r>
      <w:r>
        <w:rPr>
          <w:color w:val="000000" w:themeColor="text1"/>
          <w:sz w:val="26"/>
          <w:szCs w:val="26"/>
        </w:rPr>
        <w:t xml:space="preserve">https://www.rts-tender.ru/property-sales.</w:t>
      </w:r>
      <w:r>
        <w:rPr>
          <w:rStyle w:val="947"/>
          <w:b w:val="0"/>
          <w:color w:val="000000" w:themeColor="text1"/>
          <w:sz w:val="26"/>
          <w:szCs w:val="26"/>
        </w:rPr>
        <w:t xml:space="preserve">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Дата подведения итогов аукциона:</w:t>
      </w:r>
      <w:r>
        <w:rPr>
          <w:rStyle w:val="947"/>
          <w:b w:val="0"/>
          <w:color w:val="000000" w:themeColor="text1"/>
          <w:sz w:val="26"/>
          <w:szCs w:val="26"/>
        </w:rPr>
        <w:t xml:space="preserve"> 04 августа 2026 года.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keepNext/>
        <w:rPr>
          <w:rStyle w:val="947"/>
          <w:color w:val="000000" w:themeColor="text1"/>
          <w:sz w:val="26"/>
          <w:szCs w:val="26"/>
        </w:rPr>
        <w:outlineLvl w:val="0"/>
      </w:pPr>
      <w:r>
        <w:rPr>
          <w:rStyle w:val="947"/>
          <w:color w:val="000000" w:themeColor="text1"/>
          <w:sz w:val="26"/>
          <w:szCs w:val="26"/>
        </w:rPr>
        <w:t xml:space="preserve">Перечень документов, представляемых для участия в аукционе: 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копии документов, удостоверяющих личность заявителя (для граждан);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numPr>
          <w:ilvl w:val="0"/>
          <w:numId w:val="9"/>
        </w:numPr>
        <w:ind w:left="0" w:firstLine="709"/>
        <w:jc w:val="both"/>
        <w:tabs>
          <w:tab w:val="left" w:pos="0" w:leader="none"/>
          <w:tab w:val="left" w:pos="993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документы, подтверждающие внесение задатка.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tabs>
          <w:tab w:val="left" w:pos="0" w:leader="none"/>
        </w:tabs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участия в аукционе представителя заявителя предъявляется документ, подтверждающий полномочия данного представителя.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7"/>
          <w:b w:val="0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Размер задатка: 83 000 (восемьдесят три тысячи)</w:t>
      </w:r>
      <w:r>
        <w:rPr>
          <w:rStyle w:val="947"/>
          <w:b w:val="0"/>
          <w:color w:val="000000" w:themeColor="text1"/>
          <w:sz w:val="26"/>
          <w:szCs w:val="26"/>
        </w:rPr>
        <w:t xml:space="preserve"> рублей 00 копеек.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Порядок внесения задатка участниками аукциона и его возврат:</w:t>
      </w:r>
      <w:r>
        <w:rPr>
          <w:b/>
          <w:bCs/>
          <w:color w:val="000000" w:themeColor="text1"/>
          <w:sz w:val="26"/>
          <w:szCs w:val="26"/>
        </w:rPr>
      </w:r>
      <w:r>
        <w:rPr>
          <w:b/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Задаток вносится на расчетный счет организатора аукциона.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 (л/с 190010013). Получатель: </w:t>
      </w:r>
      <w:r>
        <w:rPr>
          <w:rStyle w:val="947"/>
          <w:b w:val="0"/>
          <w:color w:val="000000" w:themeColor="text1"/>
          <w:sz w:val="26"/>
          <w:szCs w:val="26"/>
        </w:rPr>
        <w:t xml:space="preserve">МФиНП</w:t>
      </w:r>
      <w:r>
        <w:rPr>
          <w:rStyle w:val="947"/>
          <w:b w:val="0"/>
          <w:color w:val="000000" w:themeColor="text1"/>
          <w:sz w:val="26"/>
          <w:szCs w:val="26"/>
        </w:rPr>
        <w:t xml:space="preserve"> НСО (ДИиЗО НСО, л/с190010013), ИНН 5406214965 / КПП 540601001, ОКЦ №1 Сибирское ГУ Банка России//УФК по Новосибирской области </w:t>
      </w:r>
      <w:r>
        <w:rPr>
          <w:rStyle w:val="947"/>
          <w:b w:val="0"/>
          <w:color w:val="000000" w:themeColor="text1"/>
          <w:sz w:val="26"/>
          <w:szCs w:val="26"/>
        </w:rPr>
        <w:t xml:space="preserve">г.Новосибирск</w:t>
      </w:r>
      <w:r>
        <w:rPr>
          <w:rStyle w:val="947"/>
          <w:b w:val="0"/>
          <w:color w:val="000000" w:themeColor="text1"/>
          <w:sz w:val="26"/>
          <w:szCs w:val="26"/>
        </w:rPr>
        <w:t xml:space="preserve">, БИК 015004950, р/с 40102810445370000043, л/с 03222643500000005100, ОКТМО 50701000, КБК 00000000000000000510.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Назначение платежа: задаток для участия в аукционе ДИиЗО НСО, земельный участок с кадастровым номером 54:19:050201:1275.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Представление документов, подтверждающих внесение задатка, признается заключением соглашения о задатке, включающего сроки и порядок возврата задатка, предусмотренные статьей 39.12 Земельного кодекса Российской Федерации.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Возврат задатка производится организатором аукциона по реквизитам, указанным в заявке на участие в аукционе, в следующих случаях: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заявитель отозвал заявку на участие</w:t>
      </w:r>
      <w:r>
        <w:rPr>
          <w:rStyle w:val="947"/>
          <w:b w:val="0"/>
          <w:color w:val="000000" w:themeColor="text1"/>
          <w:sz w:val="26"/>
          <w:szCs w:val="26"/>
        </w:rPr>
        <w:t xml:space="preserve"> в аукционе до дня окончания срока приема заявок, –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– в порядке, установленном для участников аукциона;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заявитель не допущен к участию в аукционе, – в течение трех рабочих дней со дня оформления протокола приема заявок на участие в аукционе;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участник не признан победителем аукциона, – в течение трех рабочих дней со дня подписания протокола о результатах аукци</w:t>
      </w:r>
      <w:r>
        <w:rPr>
          <w:rStyle w:val="947"/>
          <w:b w:val="0"/>
          <w:color w:val="000000" w:themeColor="text1"/>
          <w:sz w:val="26"/>
          <w:szCs w:val="26"/>
        </w:rPr>
        <w:t xml:space="preserve">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аукциона; 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color w:val="000000" w:themeColor="text1"/>
          <w:sz w:val="26"/>
          <w:szCs w:val="26"/>
        </w:rPr>
        <w:outlineLvl w:val="0"/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случае, если организатором аукциона принято решение об отказе в проведении аукциона, – в течение трех дней со дня принятия решения об отказе в проведении аукциона.</w:t>
      </w:r>
      <w:r>
        <w:rPr>
          <w:rStyle w:val="947"/>
          <w:b w:val="0"/>
          <w:color w:val="000000" w:themeColor="text1"/>
          <w:sz w:val="26"/>
          <w:szCs w:val="26"/>
        </w:rPr>
      </w:r>
      <w:r>
        <w:rPr>
          <w:rStyle w:val="947"/>
          <w:b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не возвращается в случае уклонения от заключения договора аренды земельного участка: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заявителю, признанному участником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единственному принявшему участие в аукционе участнику; 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участнику, признанному победителем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участнику аукциона, который сделал предпоследнее предложение о цене предмета аукциона, если договор аренды земельного участка в течение десяти рабочих дней со дня направления победителю аукциона не были им подписан и представлен в уполномоченный орган.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Задаток засчитывается в счет арендной платы за земельный участок.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right="-22" w:firstLine="709"/>
        <w:jc w:val="both"/>
        <w:shd w:val="clear" w:color="auto" w:fill="ffffff"/>
        <w:rPr>
          <w:rStyle w:val="947"/>
          <w:color w:val="000000" w:themeColor="text1"/>
          <w:sz w:val="26"/>
          <w:szCs w:val="26"/>
        </w:rPr>
      </w:pPr>
      <w:r>
        <w:rPr>
          <w:rStyle w:val="947"/>
          <w:color w:val="000000" w:themeColor="text1"/>
          <w:sz w:val="26"/>
          <w:szCs w:val="26"/>
        </w:rPr>
        <w:t xml:space="preserve">Сведения</w:t>
      </w:r>
      <w:r>
        <w:rPr>
          <w:color w:val="000000" w:themeColor="text1"/>
          <w:sz w:val="26"/>
          <w:szCs w:val="26"/>
        </w:rPr>
        <w:t xml:space="preserve"> </w:t>
      </w:r>
      <w:r>
        <w:rPr>
          <w:rStyle w:val="947"/>
          <w:color w:val="000000" w:themeColor="text1"/>
          <w:sz w:val="26"/>
          <w:szCs w:val="26"/>
        </w:rPr>
        <w:t xml:space="preserve">о существенных условиях договора аренды земельного участка: </w:t>
      </w:r>
      <w:r>
        <w:rPr>
          <w:rStyle w:val="947"/>
          <w:color w:val="000000" w:themeColor="text1"/>
          <w:sz w:val="26"/>
          <w:szCs w:val="26"/>
        </w:rPr>
      </w:r>
      <w:r>
        <w:rPr>
          <w:rStyle w:val="947"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размер ежегодной арендной платы по договору аренды земельного участка </w:t>
      </w:r>
      <w:r>
        <w:rPr>
          <w:color w:val="000000" w:themeColor="text1"/>
          <w:sz w:val="26"/>
          <w:szCs w:val="26"/>
        </w:rPr>
        <w:t xml:space="preserve">устанавливается по итогам аукциона;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3" w:firstLine="709"/>
        <w:jc w:val="both"/>
        <w:shd w:val="clear" w:color="auto" w:fill="ffffff"/>
        <w:tabs>
          <w:tab w:val="left" w:pos="993" w:leader="none"/>
        </w:tabs>
        <w:rPr>
          <w:bCs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действия договора аренды земельного участка составляет </w:t>
      </w:r>
      <w:r>
        <w:rPr>
          <w:b/>
          <w:i/>
          <w:color w:val="000000" w:themeColor="text1"/>
          <w:sz w:val="26"/>
          <w:szCs w:val="26"/>
        </w:rPr>
        <w:t xml:space="preserve">20</w:t>
      </w:r>
      <w:r>
        <w:rPr>
          <w:b/>
          <w:i/>
          <w:color w:val="000000" w:themeColor="text1"/>
          <w:sz w:val="26"/>
          <w:szCs w:val="26"/>
        </w:rPr>
        <w:t xml:space="preserve"> (</w:t>
      </w:r>
      <w:r>
        <w:rPr>
          <w:b/>
          <w:i/>
          <w:color w:val="000000" w:themeColor="text1"/>
          <w:sz w:val="26"/>
          <w:szCs w:val="26"/>
        </w:rPr>
        <w:t xml:space="preserve">двадцать</w:t>
      </w:r>
      <w:r>
        <w:rPr>
          <w:b/>
          <w:i/>
          <w:color w:val="000000" w:themeColor="text1"/>
          <w:sz w:val="26"/>
          <w:szCs w:val="26"/>
        </w:rPr>
        <w:t xml:space="preserve">) лет</w:t>
      </w:r>
      <w:r>
        <w:rPr>
          <w:color w:val="000000" w:themeColor="text1"/>
          <w:sz w:val="26"/>
          <w:szCs w:val="26"/>
        </w:rPr>
        <w:t xml:space="preserve"> с даты</w:t>
      </w:r>
      <w:r>
        <w:rPr>
          <w:bCs/>
          <w:color w:val="000000" w:themeColor="text1"/>
          <w:sz w:val="26"/>
          <w:szCs w:val="26"/>
        </w:rPr>
        <w:t xml:space="preserve"> заключения договора аренды земельного участка;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numPr>
          <w:ilvl w:val="0"/>
          <w:numId w:val="10"/>
        </w:numPr>
        <w:ind w:left="0" w:right="-22" w:firstLine="709"/>
        <w:jc w:val="both"/>
        <w:shd w:val="clear" w:color="auto" w:fill="ffffff"/>
        <w:tabs>
          <w:tab w:val="left" w:pos="993" w:leader="none"/>
        </w:tabs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rStyle w:val="947"/>
          <w:b w:val="0"/>
          <w:bCs w:val="0"/>
          <w:color w:val="000000" w:themeColor="text1"/>
          <w:sz w:val="26"/>
          <w:szCs w:val="26"/>
        </w:rPr>
        <w:t xml:space="preserve">арендная плата вносится ежеквартально равными частями не позднее первого числа квартала, следующего за расчетным периодом.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ind w:right="-23" w:firstLine="709"/>
        <w:jc w:val="both"/>
        <w:shd w:val="clear" w:color="auto" w:fill="ffffff"/>
        <w:tabs>
          <w:tab w:val="left" w:pos="993" w:leader="none"/>
        </w:tabs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Порядок заключения договора аренды земельного участка:</w:t>
      </w:r>
      <w:r>
        <w:rPr>
          <w:b/>
          <w:color w:val="000000" w:themeColor="text1"/>
          <w:sz w:val="26"/>
          <w:szCs w:val="26"/>
        </w:rPr>
      </w:r>
      <w:r>
        <w:rPr>
          <w:b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не допускается заключение договора аренды земельного участка, ранее чем через десять дней со дня размещения </w:t>
      </w:r>
      <w:r>
        <w:rPr>
          <w:color w:val="000000" w:themeColor="text1"/>
          <w:sz w:val="26"/>
          <w:szCs w:val="26"/>
        </w:rPr>
        <w:t xml:space="preserve">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размещен на официальном сайте.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Уполномоченный орган обязан в течение пяти дней со дня истечения срока, предусмотренного </w:t>
      </w:r>
      <w:hyperlink w:tooltip="#P1333" w:anchor="P1333" w:history="1">
        <w:r>
          <w:rPr>
            <w:color w:val="000000" w:themeColor="text1"/>
            <w:sz w:val="26"/>
            <w:szCs w:val="26"/>
          </w:rPr>
          <w:t xml:space="preserve">пунктом 11</w:t>
        </w:r>
      </w:hyperlink>
      <w:r>
        <w:rPr>
          <w:color w:val="000000" w:themeColor="text1"/>
          <w:sz w:val="26"/>
          <w:szCs w:val="26"/>
        </w:rPr>
        <w:t xml:space="preserve"> статьи 39.13, направить победителю электронного аукциона или иным лицам, с которыми заключается договор аренды земельного участка, подписанный проект договора аренды земельного участка.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По результатам проведения электронного аукциона договор аренды земельного участка,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Если договор аренды в течение десяти рабочих дней со дня направления победителю аукциона проекта указанного договора не будет им подписан и представлен в департамент имущ</w:t>
      </w:r>
      <w:r>
        <w:rPr>
          <w:bCs/>
          <w:color w:val="000000" w:themeColor="text1"/>
          <w:sz w:val="26"/>
          <w:szCs w:val="26"/>
        </w:rPr>
        <w:t xml:space="preserve">ества и земельных отношений Новосибирской области, уполномоченный орган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 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bCs/>
          <w:color w:val="000000" w:themeColor="text1"/>
          <w:sz w:val="26"/>
          <w:szCs w:val="26"/>
        </w:rPr>
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</w:t>
      </w:r>
      <w:r>
        <w:rPr>
          <w:bCs/>
          <w:color w:val="000000" w:themeColor="text1"/>
          <w:sz w:val="26"/>
          <w:szCs w:val="26"/>
        </w:rPr>
        <w:t xml:space="preserve">тка этот участник не представил в уполномоченный орган подписанные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bCs/>
          <w:color w:val="000000" w:themeColor="text1"/>
          <w:sz w:val="26"/>
          <w:szCs w:val="26"/>
        </w:rPr>
        <w:outlineLvl w:val="0"/>
      </w:pPr>
      <w:r>
        <w:rPr>
          <w:color w:val="000000" w:themeColor="text1"/>
          <w:sz w:val="26"/>
          <w:szCs w:val="26"/>
        </w:rPr>
        <w:t xml:space="preserve">Осмотр земельного участка </w:t>
      </w:r>
      <w:r>
        <w:rPr>
          <w:bCs/>
          <w:color w:val="000000" w:themeColor="text1"/>
          <w:sz w:val="26"/>
          <w:szCs w:val="26"/>
        </w:rPr>
        <w:t xml:space="preserve">заявителями осуществляется самостоятельно.</w:t>
      </w:r>
      <w:r>
        <w:rPr>
          <w:bCs/>
          <w:color w:val="000000" w:themeColor="text1"/>
          <w:sz w:val="26"/>
          <w:szCs w:val="26"/>
        </w:rPr>
      </w:r>
      <w:r>
        <w:rPr>
          <w:bCs/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Информация об аукционе размещается </w:t>
      </w:r>
      <w:r>
        <w:rPr>
          <w:color w:val="000000" w:themeColor="text1"/>
          <w:sz w:val="26"/>
          <w:szCs w:val="26"/>
        </w:rPr>
        <w:t xml:space="preserve">на официальном сайте торгов Российской Федерации </w:t>
      </w:r>
      <w:hyperlink r:id="rId19" w:tooltip="http://www.torgi.gov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и на официальном сайте департамента имущества и земельных отношений Новосибирской области www.dizo.nso.ru.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rStyle w:val="947"/>
          <w:b w:val="0"/>
          <w:color w:val="000000" w:themeColor="text1"/>
          <w:sz w:val="26"/>
          <w:szCs w:val="26"/>
        </w:rPr>
        <w:t xml:space="preserve">В случае выявления обстоятельств, предусмотренных пунктом 8 статьи 39.11 Земельного кодекса Российской Федерации, </w:t>
      </w:r>
      <w:r>
        <w:rPr>
          <w:color w:val="000000" w:themeColor="text1"/>
          <w:sz w:val="26"/>
          <w:szCs w:val="26"/>
        </w:rPr>
        <w:t xml:space="preserve">департамент имущества и земельных отношений Новосибирской области</w:t>
      </w:r>
      <w:r>
        <w:rPr>
          <w:rStyle w:val="947"/>
          <w:b w:val="0"/>
          <w:color w:val="000000" w:themeColor="text1"/>
          <w:sz w:val="26"/>
          <w:szCs w:val="26"/>
        </w:rPr>
        <w:t xml:space="preserve"> принимает решение об отказе в проведении аукциона.</w:t>
      </w:r>
      <w:r>
        <w:rPr>
          <w:color w:val="000000" w:themeColor="text1"/>
          <w:sz w:val="26"/>
          <w:szCs w:val="26"/>
        </w:rPr>
        <w:t xml:space="preserve"> Извещение об отказе в проведении аукциона размещается на официальном сайте торгов Российской Федерации </w:t>
      </w:r>
      <w:hyperlink r:id="rId20" w:tooltip="http://www.torgi.gov.ru" w:history="1"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www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torgi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gov</w:t>
        </w:r>
        <w:r>
          <w:rPr>
            <w:rStyle w:val="955"/>
            <w:color w:val="000000" w:themeColor="text1"/>
            <w:sz w:val="26"/>
            <w:szCs w:val="26"/>
          </w:rPr>
          <w:t xml:space="preserve">.</w:t>
        </w:r>
        <w:r>
          <w:rPr>
            <w:rStyle w:val="955"/>
            <w:color w:val="000000" w:themeColor="text1"/>
            <w:sz w:val="26"/>
            <w:szCs w:val="26"/>
            <w:lang w:val="en-US"/>
          </w:rPr>
          <w:t xml:space="preserve">ru</w:t>
        </w:r>
      </w:hyperlink>
      <w:r>
        <w:rPr>
          <w:color w:val="000000" w:themeColor="text1"/>
          <w:sz w:val="26"/>
          <w:szCs w:val="26"/>
        </w:rPr>
        <w:t xml:space="preserve"> в течение трех дней со дня принятия данного решения.</w:t>
      </w:r>
      <w:r>
        <w:rPr>
          <w:color w:val="000000" w:themeColor="text1"/>
          <w:sz w:val="26"/>
          <w:szCs w:val="26"/>
        </w:rPr>
      </w:r>
      <w:r>
        <w:rPr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Приложением к настоящему извещению является: форма заявки на участие в аукционе.</w:t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p>
      <w:pPr>
        <w:ind w:firstLine="709"/>
        <w:jc w:val="both"/>
        <w:rPr>
          <w:rStyle w:val="947"/>
          <w:b w:val="0"/>
          <w:bCs w:val="0"/>
          <w:color w:val="000000" w:themeColor="text1"/>
          <w:sz w:val="26"/>
          <w:szCs w:val="26"/>
        </w:rPr>
      </w:pPr>
      <w:r>
        <w:rPr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  <w:r>
        <w:rPr>
          <w:rStyle w:val="947"/>
          <w:b w:val="0"/>
          <w:bCs w:val="0"/>
          <w:color w:val="000000" w:themeColor="text1"/>
          <w:sz w:val="26"/>
          <w:szCs w:val="26"/>
        </w:rPr>
      </w:r>
    </w:p>
    <w:sectPr>
      <w:headerReference w:type="default" r:id="rId9"/>
      <w:footerReference w:type="default" r:id="rId10"/>
      <w:footerReference w:type="even" r:id="rId11"/>
      <w:footnotePr/>
      <w:endnotePr/>
      <w:type w:val="nextPage"/>
      <w:pgSz w:w="11906" w:h="16838" w:orient="portrait"/>
      <w:pgMar w:top="851" w:right="851" w:bottom="851" w:left="1418" w:header="567" w:footer="28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50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0"/>
      <w:rPr>
        <w:rStyle w:val="951"/>
      </w:rPr>
      <w:framePr w:wrap="around" w:vAnchor="text" w:hAnchor="margin" w:xAlign="right" w:y="1"/>
    </w:pPr>
    <w:r>
      <w:rPr>
        <w:rStyle w:val="951"/>
      </w:rPr>
      <w:fldChar w:fldCharType="begin"/>
    </w:r>
    <w:r>
      <w:rPr>
        <w:rStyle w:val="951"/>
      </w:rPr>
      <w:instrText xml:space="preserve">PAGE  </w:instrText>
    </w:r>
    <w:r>
      <w:rPr>
        <w:rStyle w:val="951"/>
      </w:rPr>
      <w:fldChar w:fldCharType="end"/>
    </w:r>
    <w:r>
      <w:rPr>
        <w:rStyle w:val="951"/>
      </w:rPr>
    </w:r>
    <w:r>
      <w:rPr>
        <w:rStyle w:val="951"/>
      </w:rPr>
    </w:r>
  </w:p>
  <w:p>
    <w:pPr>
      <w:pStyle w:val="950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71"/>
      </w:pPr>
      <w:r>
        <w:rPr>
          <w:rStyle w:val="973"/>
        </w:rPr>
        <w:footnoteRef/>
      </w:r>
      <w:r>
        <w:t xml:space="preserve"> Применяется для хозяйственных построек, бань и гаражей, не требующих получения разрешения на строительство.</w:t>
      </w:r>
      <w:r/>
    </w:p>
    <w:p>
      <w:pPr>
        <w:pStyle w:val="971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574" w:hanging="432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50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1" w:hanging="360"/>
        <w:tabs>
          <w:tab w:val="num" w:pos="1211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1"/>
  </w:num>
  <w:num w:numId="8">
    <w:abstractNumId w:val="7"/>
  </w:num>
  <w:num w:numId="9">
    <w:abstractNumId w:val="4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3"/>
  </w:num>
  <w:num w:numId="15">
    <w:abstractNumId w:val="6"/>
  </w:num>
  <w:num w:numId="16">
    <w:abstractNumId w:val="4"/>
  </w:num>
  <w:num w:numId="17">
    <w:abstractNumId w:val="13"/>
  </w:num>
  <w:num w:numId="18">
    <w:abstractNumId w:val="6"/>
  </w:num>
  <w:num w:numId="19">
    <w:abstractNumId w:val="4"/>
  </w:num>
  <w:num w:numId="20">
    <w:abstractNumId w:val="13"/>
  </w:num>
  <w:num w:numId="21">
    <w:abstractNumId w:val="6"/>
  </w:num>
  <w:num w:numId="22">
    <w:abstractNumId w:val="1"/>
  </w:num>
  <w:num w:numId="23">
    <w:abstractNumId w:val="1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7">
    <w:name w:val="Heading 1 Char"/>
    <w:basedOn w:val="782"/>
    <w:link w:val="773"/>
    <w:uiPriority w:val="9"/>
    <w:rPr>
      <w:rFonts w:ascii="Arial" w:hAnsi="Arial" w:eastAsia="Arial" w:cs="Arial"/>
      <w:sz w:val="40"/>
      <w:szCs w:val="40"/>
    </w:rPr>
  </w:style>
  <w:style w:type="character" w:styleId="758">
    <w:name w:val="Heading 2 Char"/>
    <w:basedOn w:val="782"/>
    <w:link w:val="774"/>
    <w:uiPriority w:val="9"/>
    <w:rPr>
      <w:rFonts w:ascii="Arial" w:hAnsi="Arial" w:eastAsia="Arial" w:cs="Arial"/>
      <w:sz w:val="34"/>
    </w:rPr>
  </w:style>
  <w:style w:type="character" w:styleId="759">
    <w:name w:val="Heading 3 Char"/>
    <w:basedOn w:val="782"/>
    <w:link w:val="775"/>
    <w:uiPriority w:val="9"/>
    <w:rPr>
      <w:rFonts w:ascii="Arial" w:hAnsi="Arial" w:eastAsia="Arial" w:cs="Arial"/>
      <w:sz w:val="30"/>
      <w:szCs w:val="30"/>
    </w:rPr>
  </w:style>
  <w:style w:type="character" w:styleId="760">
    <w:name w:val="Heading 4 Char"/>
    <w:basedOn w:val="782"/>
    <w:link w:val="776"/>
    <w:uiPriority w:val="9"/>
    <w:rPr>
      <w:rFonts w:ascii="Arial" w:hAnsi="Arial" w:eastAsia="Arial" w:cs="Arial"/>
      <w:b/>
      <w:bCs/>
      <w:sz w:val="26"/>
      <w:szCs w:val="26"/>
    </w:rPr>
  </w:style>
  <w:style w:type="character" w:styleId="761">
    <w:name w:val="Heading 5 Char"/>
    <w:basedOn w:val="782"/>
    <w:link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62">
    <w:name w:val="Heading 6 Char"/>
    <w:basedOn w:val="782"/>
    <w:link w:val="778"/>
    <w:uiPriority w:val="9"/>
    <w:rPr>
      <w:rFonts w:ascii="Arial" w:hAnsi="Arial" w:eastAsia="Arial" w:cs="Arial"/>
      <w:b/>
      <w:bCs/>
      <w:sz w:val="22"/>
      <w:szCs w:val="22"/>
    </w:rPr>
  </w:style>
  <w:style w:type="character" w:styleId="763">
    <w:name w:val="Heading 7 Char"/>
    <w:basedOn w:val="78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8 Char"/>
    <w:basedOn w:val="782"/>
    <w:link w:val="780"/>
    <w:uiPriority w:val="9"/>
    <w:rPr>
      <w:rFonts w:ascii="Arial" w:hAnsi="Arial" w:eastAsia="Arial" w:cs="Arial"/>
      <w:i/>
      <w:iCs/>
      <w:sz w:val="22"/>
      <w:szCs w:val="22"/>
    </w:rPr>
  </w:style>
  <w:style w:type="character" w:styleId="765">
    <w:name w:val="Heading 9 Char"/>
    <w:basedOn w:val="782"/>
    <w:link w:val="781"/>
    <w:uiPriority w:val="9"/>
    <w:rPr>
      <w:rFonts w:ascii="Arial" w:hAnsi="Arial" w:eastAsia="Arial" w:cs="Arial"/>
      <w:i/>
      <w:iCs/>
      <w:sz w:val="21"/>
      <w:szCs w:val="21"/>
    </w:rPr>
  </w:style>
  <w:style w:type="character" w:styleId="766">
    <w:name w:val="Title Char"/>
    <w:basedOn w:val="782"/>
    <w:link w:val="795"/>
    <w:uiPriority w:val="10"/>
    <w:rPr>
      <w:sz w:val="48"/>
      <w:szCs w:val="48"/>
    </w:rPr>
  </w:style>
  <w:style w:type="character" w:styleId="767">
    <w:name w:val="Subtitle Char"/>
    <w:basedOn w:val="782"/>
    <w:link w:val="797"/>
    <w:uiPriority w:val="11"/>
    <w:rPr>
      <w:sz w:val="24"/>
      <w:szCs w:val="24"/>
    </w:rPr>
  </w:style>
  <w:style w:type="character" w:styleId="768">
    <w:name w:val="Quote Char"/>
    <w:link w:val="799"/>
    <w:uiPriority w:val="29"/>
    <w:rPr>
      <w:i/>
    </w:rPr>
  </w:style>
  <w:style w:type="character" w:styleId="769">
    <w:name w:val="Intense Quote Char"/>
    <w:link w:val="801"/>
    <w:uiPriority w:val="30"/>
    <w:rPr>
      <w:i/>
    </w:rPr>
  </w:style>
  <w:style w:type="character" w:styleId="770">
    <w:name w:val="Caption Char"/>
    <w:basedOn w:val="782"/>
    <w:link w:val="805"/>
    <w:uiPriority w:val="35"/>
    <w:rPr>
      <w:b/>
      <w:bCs/>
      <w:color w:val="4f81bd" w:themeColor="accent1"/>
      <w:sz w:val="18"/>
      <w:szCs w:val="18"/>
    </w:rPr>
  </w:style>
  <w:style w:type="character" w:styleId="771">
    <w:name w:val="Endnote Text Char"/>
    <w:link w:val="933"/>
    <w:uiPriority w:val="99"/>
    <w:rPr>
      <w:sz w:val="20"/>
    </w:rPr>
  </w:style>
  <w:style w:type="paragraph" w:styleId="772" w:default="1">
    <w:name w:val="Normal"/>
    <w:qFormat/>
    <w:rPr>
      <w:sz w:val="24"/>
      <w:szCs w:val="24"/>
    </w:rPr>
  </w:style>
  <w:style w:type="paragraph" w:styleId="773">
    <w:name w:val="Heading 1"/>
    <w:basedOn w:val="772"/>
    <w:next w:val="772"/>
    <w:link w:val="7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74">
    <w:name w:val="Heading 2"/>
    <w:basedOn w:val="772"/>
    <w:next w:val="772"/>
    <w:link w:val="7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75">
    <w:name w:val="Heading 3"/>
    <w:basedOn w:val="772"/>
    <w:next w:val="772"/>
    <w:link w:val="7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76">
    <w:name w:val="Heading 4"/>
    <w:basedOn w:val="772"/>
    <w:next w:val="772"/>
    <w:link w:val="7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77">
    <w:name w:val="Heading 5"/>
    <w:basedOn w:val="772"/>
    <w:next w:val="772"/>
    <w:link w:val="7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78">
    <w:name w:val="Heading 6"/>
    <w:basedOn w:val="772"/>
    <w:next w:val="772"/>
    <w:link w:val="7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772"/>
    <w:next w:val="772"/>
    <w:link w:val="7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0">
    <w:name w:val="Heading 8"/>
    <w:basedOn w:val="772"/>
    <w:next w:val="772"/>
    <w:link w:val="7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772"/>
    <w:next w:val="772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 w:default="1">
    <w:name w:val="Default Paragraph Font"/>
    <w:uiPriority w:val="1"/>
    <w:semiHidden/>
    <w:unhideWhenUsed/>
  </w:style>
  <w:style w:type="table" w:styleId="7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4" w:default="1">
    <w:name w:val="No List"/>
    <w:uiPriority w:val="99"/>
    <w:semiHidden/>
    <w:unhideWhenUsed/>
  </w:style>
  <w:style w:type="character" w:styleId="785" w:customStyle="1">
    <w:name w:val="Заголовок 1 Знак"/>
    <w:basedOn w:val="782"/>
    <w:link w:val="773"/>
    <w:uiPriority w:val="9"/>
    <w:rPr>
      <w:rFonts w:ascii="Arial" w:hAnsi="Arial" w:eastAsia="Arial" w:cs="Arial"/>
      <w:sz w:val="40"/>
      <w:szCs w:val="40"/>
    </w:rPr>
  </w:style>
  <w:style w:type="character" w:styleId="786" w:customStyle="1">
    <w:name w:val="Заголовок 2 Знак"/>
    <w:basedOn w:val="782"/>
    <w:link w:val="774"/>
    <w:uiPriority w:val="9"/>
    <w:rPr>
      <w:rFonts w:ascii="Arial" w:hAnsi="Arial" w:eastAsia="Arial" w:cs="Arial"/>
      <w:sz w:val="34"/>
    </w:rPr>
  </w:style>
  <w:style w:type="character" w:styleId="787" w:customStyle="1">
    <w:name w:val="Заголовок 3 Знак"/>
    <w:basedOn w:val="782"/>
    <w:link w:val="775"/>
    <w:uiPriority w:val="9"/>
    <w:rPr>
      <w:rFonts w:ascii="Arial" w:hAnsi="Arial" w:eastAsia="Arial" w:cs="Arial"/>
      <w:sz w:val="30"/>
      <w:szCs w:val="30"/>
    </w:rPr>
  </w:style>
  <w:style w:type="character" w:styleId="788" w:customStyle="1">
    <w:name w:val="Заголовок 4 Знак"/>
    <w:basedOn w:val="782"/>
    <w:link w:val="776"/>
    <w:uiPriority w:val="9"/>
    <w:rPr>
      <w:rFonts w:ascii="Arial" w:hAnsi="Arial" w:eastAsia="Arial" w:cs="Arial"/>
      <w:b/>
      <w:bCs/>
      <w:sz w:val="26"/>
      <w:szCs w:val="26"/>
    </w:rPr>
  </w:style>
  <w:style w:type="character" w:styleId="789" w:customStyle="1">
    <w:name w:val="Заголовок 5 Знак"/>
    <w:basedOn w:val="782"/>
    <w:link w:val="777"/>
    <w:uiPriority w:val="9"/>
    <w:rPr>
      <w:rFonts w:ascii="Arial" w:hAnsi="Arial" w:eastAsia="Arial" w:cs="Arial"/>
      <w:b/>
      <w:bCs/>
      <w:sz w:val="24"/>
      <w:szCs w:val="24"/>
    </w:rPr>
  </w:style>
  <w:style w:type="character" w:styleId="790" w:customStyle="1">
    <w:name w:val="Заголовок 6 Знак"/>
    <w:basedOn w:val="782"/>
    <w:link w:val="778"/>
    <w:uiPriority w:val="9"/>
    <w:rPr>
      <w:rFonts w:ascii="Arial" w:hAnsi="Arial" w:eastAsia="Arial" w:cs="Arial"/>
      <w:b/>
      <w:bCs/>
      <w:sz w:val="22"/>
      <w:szCs w:val="22"/>
    </w:rPr>
  </w:style>
  <w:style w:type="character" w:styleId="791" w:customStyle="1">
    <w:name w:val="Заголовок 7 Знак"/>
    <w:basedOn w:val="782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2" w:customStyle="1">
    <w:name w:val="Заголовок 8 Знак"/>
    <w:basedOn w:val="782"/>
    <w:link w:val="780"/>
    <w:uiPriority w:val="9"/>
    <w:rPr>
      <w:rFonts w:ascii="Arial" w:hAnsi="Arial" w:eastAsia="Arial" w:cs="Arial"/>
      <w:i/>
      <w:iCs/>
      <w:sz w:val="22"/>
      <w:szCs w:val="22"/>
    </w:rPr>
  </w:style>
  <w:style w:type="character" w:styleId="793" w:customStyle="1">
    <w:name w:val="Заголовок 9 Знак"/>
    <w:basedOn w:val="782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No Spacing"/>
    <w:uiPriority w:val="1"/>
    <w:qFormat/>
  </w:style>
  <w:style w:type="paragraph" w:styleId="795">
    <w:name w:val="Title"/>
    <w:basedOn w:val="772"/>
    <w:next w:val="772"/>
    <w:link w:val="7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6" w:customStyle="1">
    <w:name w:val="Заголовок Знак"/>
    <w:basedOn w:val="782"/>
    <w:link w:val="795"/>
    <w:uiPriority w:val="10"/>
    <w:rPr>
      <w:sz w:val="48"/>
      <w:szCs w:val="48"/>
    </w:rPr>
  </w:style>
  <w:style w:type="paragraph" w:styleId="797">
    <w:name w:val="Subtitle"/>
    <w:basedOn w:val="772"/>
    <w:next w:val="772"/>
    <w:link w:val="798"/>
    <w:uiPriority w:val="11"/>
    <w:qFormat/>
    <w:pPr>
      <w:spacing w:before="200" w:after="200"/>
    </w:pPr>
  </w:style>
  <w:style w:type="character" w:styleId="798" w:customStyle="1">
    <w:name w:val="Подзаголовок Знак"/>
    <w:basedOn w:val="782"/>
    <w:link w:val="797"/>
    <w:uiPriority w:val="11"/>
    <w:rPr>
      <w:sz w:val="24"/>
      <w:szCs w:val="24"/>
    </w:rPr>
  </w:style>
  <w:style w:type="paragraph" w:styleId="799">
    <w:name w:val="Quote"/>
    <w:basedOn w:val="772"/>
    <w:next w:val="772"/>
    <w:link w:val="800"/>
    <w:uiPriority w:val="29"/>
    <w:qFormat/>
    <w:pPr>
      <w:ind w:left="720" w:right="720"/>
    </w:pPr>
    <w:rPr>
      <w:i/>
    </w:rPr>
  </w:style>
  <w:style w:type="character" w:styleId="800" w:customStyle="1">
    <w:name w:val="Цитата 2 Знак"/>
    <w:link w:val="799"/>
    <w:uiPriority w:val="29"/>
    <w:rPr>
      <w:i/>
    </w:rPr>
  </w:style>
  <w:style w:type="paragraph" w:styleId="801">
    <w:name w:val="Intense Quote"/>
    <w:basedOn w:val="772"/>
    <w:next w:val="772"/>
    <w:link w:val="8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 w:customStyle="1">
    <w:name w:val="Выделенная цитата Знак"/>
    <w:link w:val="801"/>
    <w:uiPriority w:val="30"/>
    <w:rPr>
      <w:i/>
    </w:rPr>
  </w:style>
  <w:style w:type="character" w:styleId="803" w:customStyle="1">
    <w:name w:val="Header Char"/>
    <w:basedOn w:val="782"/>
    <w:uiPriority w:val="99"/>
  </w:style>
  <w:style w:type="character" w:styleId="804" w:customStyle="1">
    <w:name w:val="Footer Char"/>
    <w:basedOn w:val="782"/>
    <w:uiPriority w:val="99"/>
  </w:style>
  <w:style w:type="paragraph" w:styleId="805">
    <w:name w:val="Caption"/>
    <w:basedOn w:val="772"/>
    <w:next w:val="772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6" w:customStyle="1">
    <w:name w:val="Название объекта Знак"/>
    <w:basedOn w:val="782"/>
    <w:link w:val="805"/>
    <w:uiPriority w:val="35"/>
    <w:rPr>
      <w:b/>
      <w:bCs/>
      <w:color w:val="4f81bd" w:themeColor="accent1"/>
      <w:sz w:val="18"/>
      <w:szCs w:val="18"/>
    </w:rPr>
  </w:style>
  <w:style w:type="table" w:styleId="807" w:customStyle="1">
    <w:name w:val="Table Grid Light"/>
    <w:basedOn w:val="7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08">
    <w:name w:val="Plain Table 1"/>
    <w:basedOn w:val="783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78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7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783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1"/>
    <w:basedOn w:val="78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2"/>
    <w:basedOn w:val="78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3"/>
    <w:basedOn w:val="78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4"/>
    <w:basedOn w:val="78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5"/>
    <w:basedOn w:val="78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6"/>
    <w:basedOn w:val="78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7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1"/>
    <w:basedOn w:val="78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5"/>
    <w:basedOn w:val="78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6"/>
    <w:basedOn w:val="78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78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1"/>
    <w:basedOn w:val="783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5"/>
    <w:basedOn w:val="783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6"/>
    <w:basedOn w:val="783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783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 w:customStyle="1">
    <w:name w:val="Grid Table 4 - Accent 1"/>
    <w:basedOn w:val="783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6" w:customStyle="1">
    <w:name w:val="Grid Table 4 - Accent 2"/>
    <w:basedOn w:val="783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Grid Table 4 - Accent 3"/>
    <w:basedOn w:val="78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8" w:customStyle="1">
    <w:name w:val="Grid Table 4 - Accent 4"/>
    <w:basedOn w:val="783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Grid Table 4 - Accent 5"/>
    <w:basedOn w:val="783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0" w:customStyle="1">
    <w:name w:val="Grid Table 4 - Accent 6"/>
    <w:basedOn w:val="783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1">
    <w:name w:val="Grid Table 5 Dark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- Accent 1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2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3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4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5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6"/>
    <w:basedOn w:val="78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8">
    <w:name w:val="Grid Table 6 Colorful"/>
    <w:basedOn w:val="783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9" w:customStyle="1">
    <w:name w:val="Grid Table 6 Colorful - Accent 1"/>
    <w:basedOn w:val="783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0" w:customStyle="1">
    <w:name w:val="Grid Table 6 Colorful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1" w:customStyle="1">
    <w:name w:val="Grid Table 6 Colorful - Accent 3"/>
    <w:basedOn w:val="78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2" w:customStyle="1">
    <w:name w:val="Grid Table 6 Colorful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3" w:customStyle="1">
    <w:name w:val="Grid Table 6 Colorful - Accent 5"/>
    <w:basedOn w:val="783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4" w:customStyle="1">
    <w:name w:val="Grid Table 6 Colorful - Accent 6"/>
    <w:basedOn w:val="783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5">
    <w:name w:val="Grid Table 7 Colorful"/>
    <w:basedOn w:val="783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7 Colorful - Accent 1"/>
    <w:basedOn w:val="783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7 Colorful - Accent 2"/>
    <w:basedOn w:val="783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7 Colorful - Accent 3"/>
    <w:basedOn w:val="78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7 Colorful - Accent 4"/>
    <w:basedOn w:val="783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7 Colorful - Accent 5"/>
    <w:basedOn w:val="783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6"/>
    <w:basedOn w:val="783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783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1"/>
    <w:basedOn w:val="783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2"/>
    <w:basedOn w:val="783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3"/>
    <w:basedOn w:val="783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4"/>
    <w:basedOn w:val="783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5"/>
    <w:basedOn w:val="783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6"/>
    <w:basedOn w:val="783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783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1"/>
    <w:basedOn w:val="783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2"/>
    <w:basedOn w:val="783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3"/>
    <w:basedOn w:val="78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4"/>
    <w:basedOn w:val="783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5"/>
    <w:basedOn w:val="783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6"/>
    <w:basedOn w:val="783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7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1"/>
    <w:basedOn w:val="783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78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1"/>
    <w:basedOn w:val="783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2"/>
    <w:basedOn w:val="783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3"/>
    <w:basedOn w:val="78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4"/>
    <w:basedOn w:val="783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5"/>
    <w:basedOn w:val="783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6"/>
    <w:basedOn w:val="783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783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1"/>
    <w:basedOn w:val="783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>
    <w:name w:val="List Table 6 Colorful"/>
    <w:basedOn w:val="783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8" w:customStyle="1">
    <w:name w:val="List Table 6 Colorful - Accent 1"/>
    <w:basedOn w:val="783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9" w:customStyle="1">
    <w:name w:val="List Table 6 Colorful - Accent 2"/>
    <w:basedOn w:val="783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0" w:customStyle="1">
    <w:name w:val="List Table 6 Colorful - Accent 3"/>
    <w:basedOn w:val="78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1" w:customStyle="1">
    <w:name w:val="List Table 6 Colorful - Accent 4"/>
    <w:basedOn w:val="783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2" w:customStyle="1">
    <w:name w:val="List Table 6 Colorful - Accent 5"/>
    <w:basedOn w:val="783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3" w:customStyle="1">
    <w:name w:val="List Table 6 Colorful - Accent 6"/>
    <w:basedOn w:val="783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4">
    <w:name w:val="List Table 7 Colorful"/>
    <w:basedOn w:val="783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7 Colorful - Accent 1"/>
    <w:basedOn w:val="783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7 Colorful - Accent 2"/>
    <w:basedOn w:val="783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7 Colorful - Accent 3"/>
    <w:basedOn w:val="78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7 Colorful - Accent 4"/>
    <w:basedOn w:val="783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List Table 7 Colorful - Accent 5"/>
    <w:basedOn w:val="783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6"/>
    <w:basedOn w:val="783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ned - Accent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2" w:customStyle="1">
    <w:name w:val="Lined - Accent 1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3" w:customStyle="1">
    <w:name w:val="Lined - Accent 2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4" w:customStyle="1">
    <w:name w:val="Lined - Accent 3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5" w:customStyle="1">
    <w:name w:val="Lined - Accent 4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6" w:customStyle="1">
    <w:name w:val="Lined - Accent 5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7" w:customStyle="1">
    <w:name w:val="Lined - Accent 6"/>
    <w:basedOn w:val="7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8" w:customStyle="1">
    <w:name w:val="Bordered &amp; Lined - Accent"/>
    <w:basedOn w:val="783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9" w:customStyle="1">
    <w:name w:val="Bordered &amp; Lined - Accent 1"/>
    <w:basedOn w:val="783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0" w:customStyle="1">
    <w:name w:val="Bordered &amp; Lined - Accent 2"/>
    <w:basedOn w:val="783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1" w:customStyle="1">
    <w:name w:val="Bordered &amp; Lined - Accent 3"/>
    <w:basedOn w:val="783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2" w:customStyle="1">
    <w:name w:val="Bordered &amp; Lined - Accent 4"/>
    <w:basedOn w:val="783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3" w:customStyle="1">
    <w:name w:val="Bordered &amp; Lined - Accent 5"/>
    <w:basedOn w:val="783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4" w:customStyle="1">
    <w:name w:val="Bordered &amp; Lined - Accent 6"/>
    <w:basedOn w:val="783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5" w:customStyle="1">
    <w:name w:val="Bordered"/>
    <w:basedOn w:val="783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6" w:customStyle="1">
    <w:name w:val="Bordered - Accent 1"/>
    <w:basedOn w:val="783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7" w:customStyle="1">
    <w:name w:val="Bordered - Accent 2"/>
    <w:basedOn w:val="783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8" w:customStyle="1">
    <w:name w:val="Bordered - Accent 3"/>
    <w:basedOn w:val="78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9" w:customStyle="1">
    <w:name w:val="Bordered - Accent 4"/>
    <w:basedOn w:val="783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0" w:customStyle="1">
    <w:name w:val="Bordered - Accent 5"/>
    <w:basedOn w:val="783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1" w:customStyle="1">
    <w:name w:val="Bordered - Accent 6"/>
    <w:basedOn w:val="783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2" w:customStyle="1">
    <w:name w:val="Footnote Text Char"/>
    <w:uiPriority w:val="99"/>
    <w:rPr>
      <w:sz w:val="18"/>
    </w:rPr>
  </w:style>
  <w:style w:type="paragraph" w:styleId="933">
    <w:name w:val="endnote text"/>
    <w:basedOn w:val="772"/>
    <w:link w:val="934"/>
    <w:uiPriority w:val="99"/>
    <w:semiHidden/>
    <w:unhideWhenUsed/>
    <w:rPr>
      <w:sz w:val="20"/>
    </w:rPr>
  </w:style>
  <w:style w:type="character" w:styleId="934" w:customStyle="1">
    <w:name w:val="Текст концевой сноски Знак"/>
    <w:link w:val="933"/>
    <w:uiPriority w:val="99"/>
    <w:rPr>
      <w:sz w:val="20"/>
    </w:rPr>
  </w:style>
  <w:style w:type="character" w:styleId="935">
    <w:name w:val="endnote reference"/>
    <w:basedOn w:val="782"/>
    <w:uiPriority w:val="99"/>
    <w:semiHidden/>
    <w:unhideWhenUsed/>
    <w:rPr>
      <w:vertAlign w:val="superscript"/>
    </w:rPr>
  </w:style>
  <w:style w:type="paragraph" w:styleId="936">
    <w:name w:val="toc 1"/>
    <w:basedOn w:val="772"/>
    <w:next w:val="772"/>
    <w:uiPriority w:val="39"/>
    <w:unhideWhenUsed/>
    <w:pPr>
      <w:spacing w:after="57"/>
    </w:pPr>
  </w:style>
  <w:style w:type="paragraph" w:styleId="937">
    <w:name w:val="toc 2"/>
    <w:basedOn w:val="772"/>
    <w:next w:val="772"/>
    <w:uiPriority w:val="39"/>
    <w:unhideWhenUsed/>
    <w:pPr>
      <w:ind w:left="283"/>
      <w:spacing w:after="57"/>
    </w:pPr>
  </w:style>
  <w:style w:type="paragraph" w:styleId="938">
    <w:name w:val="toc 3"/>
    <w:basedOn w:val="772"/>
    <w:next w:val="772"/>
    <w:uiPriority w:val="39"/>
    <w:unhideWhenUsed/>
    <w:pPr>
      <w:ind w:left="567"/>
      <w:spacing w:after="57"/>
    </w:pPr>
  </w:style>
  <w:style w:type="paragraph" w:styleId="939">
    <w:name w:val="toc 4"/>
    <w:basedOn w:val="772"/>
    <w:next w:val="772"/>
    <w:uiPriority w:val="39"/>
    <w:unhideWhenUsed/>
    <w:pPr>
      <w:ind w:left="850"/>
      <w:spacing w:after="57"/>
    </w:pPr>
  </w:style>
  <w:style w:type="paragraph" w:styleId="940">
    <w:name w:val="toc 5"/>
    <w:basedOn w:val="772"/>
    <w:next w:val="772"/>
    <w:uiPriority w:val="39"/>
    <w:unhideWhenUsed/>
    <w:pPr>
      <w:ind w:left="1134"/>
      <w:spacing w:after="57"/>
    </w:pPr>
  </w:style>
  <w:style w:type="paragraph" w:styleId="941">
    <w:name w:val="toc 6"/>
    <w:basedOn w:val="772"/>
    <w:next w:val="772"/>
    <w:uiPriority w:val="39"/>
    <w:unhideWhenUsed/>
    <w:pPr>
      <w:ind w:left="1417"/>
      <w:spacing w:after="57"/>
    </w:pPr>
  </w:style>
  <w:style w:type="paragraph" w:styleId="942">
    <w:name w:val="toc 7"/>
    <w:basedOn w:val="772"/>
    <w:next w:val="772"/>
    <w:uiPriority w:val="39"/>
    <w:unhideWhenUsed/>
    <w:pPr>
      <w:ind w:left="1701"/>
      <w:spacing w:after="57"/>
    </w:pPr>
  </w:style>
  <w:style w:type="paragraph" w:styleId="943">
    <w:name w:val="toc 8"/>
    <w:basedOn w:val="772"/>
    <w:next w:val="772"/>
    <w:uiPriority w:val="39"/>
    <w:unhideWhenUsed/>
    <w:pPr>
      <w:ind w:left="1984"/>
      <w:spacing w:after="57"/>
    </w:pPr>
  </w:style>
  <w:style w:type="paragraph" w:styleId="944">
    <w:name w:val="toc 9"/>
    <w:basedOn w:val="772"/>
    <w:next w:val="772"/>
    <w:uiPriority w:val="39"/>
    <w:unhideWhenUsed/>
    <w:pPr>
      <w:ind w:left="2268"/>
      <w:spacing w:after="57"/>
    </w:pPr>
  </w:style>
  <w:style w:type="paragraph" w:styleId="945">
    <w:name w:val="TOC Heading"/>
    <w:uiPriority w:val="39"/>
    <w:unhideWhenUsed/>
  </w:style>
  <w:style w:type="paragraph" w:styleId="946">
    <w:name w:val="table of figures"/>
    <w:basedOn w:val="772"/>
    <w:next w:val="772"/>
    <w:uiPriority w:val="99"/>
    <w:unhideWhenUsed/>
  </w:style>
  <w:style w:type="character" w:styleId="947">
    <w:name w:val="Strong"/>
    <w:qFormat/>
    <w:rPr>
      <w:b/>
      <w:bCs/>
    </w:rPr>
  </w:style>
  <w:style w:type="paragraph" w:styleId="948">
    <w:name w:val="Document Map"/>
    <w:basedOn w:val="772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49">
    <w:name w:val="Table Grid"/>
    <w:basedOn w:val="78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0">
    <w:name w:val="Footer"/>
    <w:basedOn w:val="772"/>
    <w:link w:val="963"/>
    <w:uiPriority w:val="99"/>
    <w:pPr>
      <w:tabs>
        <w:tab w:val="center" w:pos="4677" w:leader="none"/>
        <w:tab w:val="right" w:pos="9355" w:leader="none"/>
      </w:tabs>
    </w:pPr>
  </w:style>
  <w:style w:type="character" w:styleId="951">
    <w:name w:val="page number"/>
    <w:basedOn w:val="782"/>
  </w:style>
  <w:style w:type="paragraph" w:styleId="952">
    <w:name w:val="List Paragraph"/>
    <w:basedOn w:val="772"/>
    <w:uiPriority w:val="34"/>
    <w:qFormat/>
    <w:pPr>
      <w:contextualSpacing/>
      <w:ind w:left="720"/>
    </w:pPr>
  </w:style>
  <w:style w:type="paragraph" w:styleId="953">
    <w:name w:val="Balloon Text"/>
    <w:basedOn w:val="772"/>
    <w:link w:val="954"/>
    <w:uiPriority w:val="99"/>
    <w:semiHidden/>
    <w:unhideWhenUsed/>
    <w:rPr>
      <w:rFonts w:ascii="Tahoma" w:hAnsi="Tahoma"/>
      <w:sz w:val="16"/>
      <w:szCs w:val="16"/>
    </w:rPr>
  </w:style>
  <w:style w:type="character" w:styleId="954" w:customStyle="1">
    <w:name w:val="Текст выноски Знак"/>
    <w:link w:val="953"/>
    <w:uiPriority w:val="99"/>
    <w:semiHidden/>
    <w:rPr>
      <w:rFonts w:ascii="Tahoma" w:hAnsi="Tahoma" w:cs="Tahoma"/>
      <w:sz w:val="16"/>
      <w:szCs w:val="16"/>
    </w:rPr>
  </w:style>
  <w:style w:type="character" w:styleId="955">
    <w:name w:val="Hyperlink"/>
    <w:uiPriority w:val="99"/>
    <w:unhideWhenUsed/>
    <w:rPr>
      <w:color w:val="0000ff"/>
      <w:u w:val="single"/>
    </w:rPr>
  </w:style>
  <w:style w:type="paragraph" w:styleId="956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57">
    <w:name w:val="Header"/>
    <w:basedOn w:val="772"/>
    <w:link w:val="9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8" w:customStyle="1">
    <w:name w:val="Верхний колонтитул Знак"/>
    <w:link w:val="957"/>
    <w:uiPriority w:val="99"/>
    <w:rPr>
      <w:sz w:val="24"/>
      <w:szCs w:val="24"/>
    </w:rPr>
  </w:style>
  <w:style w:type="paragraph" w:styleId="959">
    <w:name w:val="Normal (Web)"/>
    <w:basedOn w:val="772"/>
    <w:link w:val="960"/>
    <w:pPr>
      <w:spacing w:before="100" w:beforeAutospacing="1" w:after="100" w:afterAutospacing="1"/>
    </w:pPr>
  </w:style>
  <w:style w:type="character" w:styleId="960" w:customStyle="1">
    <w:name w:val="Обычный (веб) Знак"/>
    <w:link w:val="959"/>
    <w:rPr>
      <w:sz w:val="24"/>
      <w:szCs w:val="24"/>
    </w:rPr>
  </w:style>
  <w:style w:type="paragraph" w:styleId="961">
    <w:name w:val="Body Text Indent 3"/>
    <w:basedOn w:val="772"/>
    <w:link w:val="962"/>
    <w:pPr>
      <w:ind w:right="-143" w:firstLine="709"/>
      <w:jc w:val="both"/>
    </w:pPr>
    <w:rPr>
      <w:sz w:val="28"/>
      <w:szCs w:val="28"/>
    </w:rPr>
  </w:style>
  <w:style w:type="character" w:styleId="962" w:customStyle="1">
    <w:name w:val="Основной текст с отступом 3 Знак"/>
    <w:link w:val="961"/>
    <w:rPr>
      <w:sz w:val="28"/>
      <w:szCs w:val="28"/>
    </w:rPr>
  </w:style>
  <w:style w:type="character" w:styleId="963" w:customStyle="1">
    <w:name w:val="Нижний колонтитул Знак"/>
    <w:link w:val="950"/>
    <w:uiPriority w:val="99"/>
    <w:rPr>
      <w:sz w:val="24"/>
      <w:szCs w:val="24"/>
    </w:rPr>
  </w:style>
  <w:style w:type="paragraph" w:styleId="964">
    <w:name w:val="Body Text Indent"/>
    <w:basedOn w:val="772"/>
    <w:link w:val="965"/>
    <w:uiPriority w:val="99"/>
    <w:semiHidden/>
    <w:unhideWhenUsed/>
    <w:pPr>
      <w:ind w:left="283"/>
      <w:spacing w:after="120"/>
    </w:pPr>
  </w:style>
  <w:style w:type="character" w:styleId="965" w:customStyle="1">
    <w:name w:val="Основной текст с отступом Знак"/>
    <w:basedOn w:val="782"/>
    <w:link w:val="964"/>
    <w:uiPriority w:val="99"/>
    <w:semiHidden/>
    <w:rPr>
      <w:sz w:val="24"/>
      <w:szCs w:val="24"/>
    </w:rPr>
  </w:style>
  <w:style w:type="paragraph" w:styleId="966" w:customStyle="1">
    <w:name w:val="ConsPlusNormal"/>
    <w:rPr>
      <w:sz w:val="28"/>
      <w:szCs w:val="28"/>
    </w:rPr>
  </w:style>
  <w:style w:type="paragraph" w:styleId="967" w:customStyle="1">
    <w:name w:val="Табличный_боковик_11"/>
    <w:link w:val="968"/>
    <w:qFormat/>
    <w:rPr>
      <w:sz w:val="22"/>
      <w:szCs w:val="24"/>
    </w:rPr>
  </w:style>
  <w:style w:type="character" w:styleId="968" w:customStyle="1">
    <w:name w:val="Табличный_боковик_11 Знак"/>
    <w:link w:val="967"/>
    <w:rPr>
      <w:sz w:val="22"/>
      <w:szCs w:val="24"/>
    </w:rPr>
  </w:style>
  <w:style w:type="character" w:styleId="969">
    <w:name w:val="FollowedHyperlink"/>
    <w:basedOn w:val="782"/>
    <w:uiPriority w:val="99"/>
    <w:semiHidden/>
    <w:unhideWhenUsed/>
    <w:rPr>
      <w:color w:val="800080" w:themeColor="followedHyperlink"/>
      <w:u w:val="single"/>
    </w:rPr>
  </w:style>
  <w:style w:type="paragraph" w:styleId="970" w:customStyle="1">
    <w:name w:val="Default"/>
    <w:rPr>
      <w:color w:val="000000"/>
      <w:sz w:val="24"/>
      <w:szCs w:val="24"/>
    </w:rPr>
  </w:style>
  <w:style w:type="paragraph" w:styleId="971">
    <w:name w:val="footnote text"/>
    <w:basedOn w:val="772"/>
    <w:link w:val="972"/>
    <w:uiPriority w:val="99"/>
    <w:semiHidden/>
    <w:unhideWhenUsed/>
    <w:rPr>
      <w:sz w:val="20"/>
      <w:szCs w:val="20"/>
    </w:rPr>
  </w:style>
  <w:style w:type="character" w:styleId="972" w:customStyle="1">
    <w:name w:val="Текст сноски Знак"/>
    <w:basedOn w:val="782"/>
    <w:link w:val="971"/>
    <w:uiPriority w:val="99"/>
    <w:semiHidden/>
  </w:style>
  <w:style w:type="character" w:styleId="973">
    <w:name w:val="footnote reference"/>
    <w:basedOn w:val="78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hyperlink" Target="http://dizo.nso.ru" TargetMode="External"/><Relationship Id="rId14" Type="http://schemas.openxmlformats.org/officeDocument/2006/relationships/hyperlink" Target="mailto:dgi@nso.ru" TargetMode="External"/><Relationship Id="rId15" Type="http://schemas.openxmlformats.org/officeDocument/2006/relationships/hyperlink" Target="http://www.rts-tender.ru" TargetMode="External"/><Relationship Id="rId16" Type="http://schemas.openxmlformats.org/officeDocument/2006/relationships/hyperlink" Target="mailto:iSupport@rts-tender.ru" TargetMode="External"/><Relationship Id="rId17" Type="http://schemas.openxmlformats.org/officeDocument/2006/relationships/hyperlink" Target="https://www.rts-tender.ru/platform-rules/platform-property-sales" TargetMode="External"/><Relationship Id="rId18" Type="http://schemas.openxmlformats.org/officeDocument/2006/relationships/hyperlink" Target="https://www.rts-tender.ru/tariffs/platform-property-sales-tariffs" TargetMode="External"/><Relationship Id="rId19" Type="http://schemas.openxmlformats.org/officeDocument/2006/relationships/hyperlink" Target="http://www.torgi.gov.ru" TargetMode="External"/><Relationship Id="rId20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4806F-851D-4E79-B221-9EA3F35D2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lastModifiedBy>sasdv</cp:lastModifiedBy>
  <cp:revision>20</cp:revision>
  <dcterms:created xsi:type="dcterms:W3CDTF">2025-11-12T02:11:00Z</dcterms:created>
  <dcterms:modified xsi:type="dcterms:W3CDTF">2026-07-09T07:52:42Z</dcterms:modified>
</cp:coreProperties>
</file>