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право заключения договора аренды земельного участка</w:t>
      </w:r>
      <w:r>
        <w:rPr>
          <w:b/>
          <w:sz w:val="26"/>
          <w:szCs w:val="26"/>
        </w:rPr>
      </w:r>
    </w:p>
    <w:p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39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на право заключения договора аренды земельного участка.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20"/>
          <w:sz w:val="26"/>
          <w:szCs w:val="26"/>
        </w:rPr>
        <w:t xml:space="preserve">Организатор аукциона в электронной форме: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области, местонахождение</w:t>
      </w:r>
      <w:r>
        <w:t xml:space="preserve"> </w:t>
      </w:r>
      <w:r>
        <w:rPr>
          <w:sz w:val="26"/>
          <w:szCs w:val="26"/>
        </w:rPr>
        <w:t xml:space="preserve">630007, город Новосибирск, Красный проспект, дом 18,</w:t>
      </w:r>
      <w:r>
        <w:t xml:space="preserve"> </w:t>
      </w:r>
      <w:r>
        <w:rPr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28"/>
            <w:sz w:val="26"/>
            <w:szCs w:val="26"/>
          </w:rPr>
          <w:t xml:space="preserve">http://dizo.nso.ru</w:t>
        </w:r>
      </w:hyperlink>
      <w:r>
        <w:rPr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28"/>
            <w:sz w:val="26"/>
            <w:szCs w:val="26"/>
            <w:lang w:val="en-US"/>
          </w:rPr>
          <w:t xml:space="preserve">dgi</w:t>
        </w:r>
        <w:r>
          <w:rPr>
            <w:rStyle w:val="928"/>
            <w:sz w:val="26"/>
            <w:szCs w:val="26"/>
          </w:rPr>
          <w:t xml:space="preserve">@nso.ru</w:t>
        </w:r>
      </w:hyperlink>
      <w:r>
        <w:rPr>
          <w:sz w:val="26"/>
          <w:szCs w:val="26"/>
        </w:rPr>
        <w:t xml:space="preserve">, телефон: +7 (383) 238-60-02.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sz w:val="26"/>
          <w:szCs w:val="26"/>
        </w:rPr>
        <w:t xml:space="preserve"> департамент имущества и земельных отношений Новосибирской области.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20"/>
          <w:sz w:val="26"/>
          <w:szCs w:val="26"/>
        </w:rPr>
        <w:t xml:space="preserve">Реквизиты решения о проведении аукциона:</w:t>
      </w:r>
      <w:r>
        <w:rPr>
          <w:sz w:val="26"/>
          <w:szCs w:val="26"/>
        </w:rPr>
        <w:t xml:space="preserve"> приказ департамента имущества и земельных отношений Новосибирской области от </w:t>
      </w:r>
      <w:r>
        <w:rPr>
          <w:sz w:val="26"/>
          <w:szCs w:val="26"/>
        </w:rPr>
        <w:t xml:space="preserve">30.04.2026 № 1239</w:t>
      </w:r>
      <w:r>
        <w:rPr>
          <w:sz w:val="26"/>
          <w:szCs w:val="26"/>
        </w:rPr>
        <w:t xml:space="preserve"> «О проведении аукциона на право заключения договора аренды земельного участка с кадастровым номером </w:t>
      </w:r>
      <w:r>
        <w:rPr>
          <w:sz w:val="26"/>
          <w:szCs w:val="26"/>
        </w:rPr>
        <w:t xml:space="preserve">54:20:020901:2907</w:t>
      </w:r>
      <w:r>
        <w:rPr>
          <w:sz w:val="26"/>
          <w:szCs w:val="26"/>
        </w:rPr>
        <w:t xml:space="preserve">».</w:t>
      </w:r>
      <w:r>
        <w:rPr>
          <w:sz w:val="26"/>
          <w:szCs w:val="26"/>
        </w:rPr>
      </w:r>
    </w:p>
    <w:p>
      <w:pPr>
        <w:ind w:firstLine="709"/>
        <w:jc w:val="both"/>
        <w:rPr>
          <w:rStyle w:val="920"/>
          <w:b w:val="0"/>
          <w:sz w:val="26"/>
          <w:szCs w:val="26"/>
        </w:rPr>
      </w:pPr>
      <w:r>
        <w:rPr>
          <w:rStyle w:val="920"/>
          <w:sz w:val="26"/>
          <w:szCs w:val="26"/>
        </w:rPr>
        <w:t xml:space="preserve">Оператор электронной площадки:</w:t>
      </w:r>
      <w:r>
        <w:rPr>
          <w:rStyle w:val="920"/>
          <w:b w:val="0"/>
          <w:sz w:val="26"/>
          <w:szCs w:val="26"/>
        </w:rPr>
        <w:t xml:space="preserve"> общество с ограниченной ответственностью «РТС-тендер», местонахождения: 121151, город Москва, набережная Тараса Шевченко, дом 23А,</w:t>
      </w:r>
      <w:r>
        <w:t xml:space="preserve"> </w:t>
      </w:r>
      <w:r>
        <w:rPr>
          <w:rStyle w:val="920"/>
          <w:b w:val="0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28"/>
            <w:sz w:val="26"/>
            <w:szCs w:val="26"/>
          </w:rPr>
          <w:t xml:space="preserve">www.rts-tender.ru</w:t>
        </w:r>
      </w:hyperlink>
      <w:r>
        <w:rPr>
          <w:rStyle w:val="920"/>
          <w:b w:val="0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28"/>
            <w:sz w:val="26"/>
            <w:szCs w:val="26"/>
          </w:rPr>
          <w:t xml:space="preserve">iSupport@rts-tender.ru</w:t>
        </w:r>
      </w:hyperlink>
      <w:r>
        <w:rPr>
          <w:rStyle w:val="920"/>
          <w:b w:val="0"/>
          <w:sz w:val="26"/>
          <w:szCs w:val="26"/>
        </w:rPr>
        <w:t xml:space="preserve">, телефон: +7 (499) 653-55-00.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rPr>
          <w:rStyle w:val="920"/>
          <w:b w:val="0"/>
          <w:sz w:val="26"/>
          <w:szCs w:val="26"/>
        </w:rPr>
      </w:pPr>
      <w:r>
        <w:rPr>
          <w:rStyle w:val="920"/>
          <w:sz w:val="26"/>
          <w:szCs w:val="26"/>
        </w:rPr>
        <w:t xml:space="preserve">Форма торгов: </w:t>
      </w:r>
      <w:r>
        <w:rPr>
          <w:rStyle w:val="920"/>
          <w:b w:val="0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20"/>
          <w:sz w:val="26"/>
          <w:szCs w:val="26"/>
        </w:rPr>
        <w:t xml:space="preserve">Дата проведения аукциона: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21 августа</w:t>
      </w:r>
      <w:r>
        <w:rPr>
          <w:sz w:val="26"/>
          <w:szCs w:val="26"/>
        </w:rPr>
        <w:t xml:space="preserve"> 2026 года.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Время проведения аукциона:</w:t>
      </w:r>
      <w:r>
        <w:rPr>
          <w:sz w:val="26"/>
          <w:szCs w:val="26"/>
        </w:rPr>
        <w:t xml:space="preserve"> 10:00 по местному времени.</w:t>
      </w:r>
      <w:r>
        <w:rPr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rStyle w:val="920"/>
          <w:color w:val="000000" w:themeColor="text1"/>
          <w:sz w:val="26"/>
          <w:szCs w:val="26"/>
        </w:rPr>
        <w:t xml:space="preserve">Порядок проведения аукциона:</w:t>
      </w:r>
      <w:r>
        <w:rPr>
          <w:color w:val="000000" w:themeColor="text1"/>
          <w:sz w:val="26"/>
          <w:szCs w:val="26"/>
        </w:rPr>
        <w:t xml:space="preserve"> оператор электронной площадки обеспечивает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Если в течение 10 (десяти) минут со </w:t>
      </w:r>
      <w:r>
        <w:rPr>
          <w:color w:val="000000" w:themeColor="text1"/>
          <w:sz w:val="26"/>
          <w:szCs w:val="26"/>
        </w:rPr>
        <w:t xml:space="preserve">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Ход проведения процедуры аукциона фиксируется операт</w:t>
      </w:r>
      <w:r>
        <w:rPr>
          <w:color w:val="000000" w:themeColor="text1"/>
          <w:sz w:val="26"/>
          <w:szCs w:val="26"/>
        </w:rPr>
        <w:t xml:space="preserve">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Протокол о результатах аукциона публикуется организатором аукциона на электронной площадке.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Оператор электронной площадки размещает протокол о результатах аукциона на официальном сайте торгов в течение одного рабочего дня со дня его подписания.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20"/>
          <w:color w:val="000000" w:themeColor="text1"/>
          <w:sz w:val="26"/>
          <w:szCs w:val="26"/>
        </w:rPr>
        <w:t xml:space="preserve">Предмет аукциона:</w:t>
      </w:r>
      <w:r>
        <w:rPr>
          <w:color w:val="000000" w:themeColor="text1"/>
          <w:sz w:val="26"/>
          <w:szCs w:val="26"/>
        </w:rPr>
        <w:t xml:space="preserve"> право на заключение договора аренды земельного участка.</w:t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keepNext/>
        <w:rPr>
          <w:rStyle w:val="920"/>
          <w:sz w:val="26"/>
          <w:szCs w:val="26"/>
        </w:rPr>
      </w:pPr>
      <w:r>
        <w:rPr>
          <w:rStyle w:val="920"/>
          <w:sz w:val="26"/>
          <w:szCs w:val="26"/>
        </w:rPr>
        <w:t xml:space="preserve">Лот № 1</w:t>
      </w:r>
      <w:r>
        <w:rPr>
          <w:rStyle w:val="92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</w:t>
      </w:r>
      <w:r>
        <w:rPr>
          <w:sz w:val="26"/>
          <w:szCs w:val="26"/>
        </w:rPr>
        <w:t xml:space="preserve">54:20:020901:2907</w:t>
      </w:r>
      <w:r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 xml:space="preserve">5780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кв.м</w:t>
      </w:r>
      <w:r>
        <w:rPr>
          <w:sz w:val="26"/>
          <w:szCs w:val="26"/>
        </w:rPr>
        <w:t xml:space="preserve">, местоположение: </w:t>
      </w:r>
      <w:r>
        <w:rPr>
          <w:sz w:val="26"/>
          <w:szCs w:val="26"/>
        </w:rPr>
        <w:t xml:space="preserve">Новосибирская область, Ордынский район, </w:t>
      </w:r>
      <w:r>
        <w:rPr>
          <w:sz w:val="26"/>
          <w:szCs w:val="26"/>
        </w:rPr>
        <w:t xml:space="preserve">Вагайцевский</w:t>
      </w:r>
      <w:r>
        <w:rPr>
          <w:sz w:val="26"/>
          <w:szCs w:val="26"/>
        </w:rPr>
        <w:t xml:space="preserve"> с/с</w:t>
      </w:r>
      <w:r>
        <w:rPr>
          <w:sz w:val="26"/>
          <w:szCs w:val="26"/>
        </w:rPr>
        <w:t xml:space="preserve">, категория земель: земли </w:t>
      </w:r>
      <w:r>
        <w:rPr>
          <w:sz w:val="26"/>
          <w:szCs w:val="26"/>
        </w:rPr>
        <w:t xml:space="preserve">сельскохозяйственного назначения</w:t>
      </w:r>
      <w:r>
        <w:rPr>
          <w:sz w:val="26"/>
          <w:szCs w:val="26"/>
        </w:rPr>
        <w:t xml:space="preserve">, разрешенное использование: </w:t>
      </w:r>
      <w:r>
        <w:rPr>
          <w:sz w:val="26"/>
          <w:szCs w:val="26"/>
        </w:rPr>
        <w:t xml:space="preserve">хранение и переработка сельскохозяйственной продукции (1.15)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20"/>
          <w:sz w:val="26"/>
          <w:szCs w:val="26"/>
        </w:rPr>
        <w:t xml:space="preserve">Ограничение прав и обременение земельного участка: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зарегистрировано.</w:t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Дополнительные сведения о земельном участке: </w:t>
      </w:r>
      <w:r>
        <w:rPr>
          <w:sz w:val="26"/>
          <w:szCs w:val="26"/>
        </w:rPr>
        <w:t xml:space="preserve">на участке находя</w:t>
      </w:r>
      <w:r>
        <w:rPr>
          <w:sz w:val="26"/>
          <w:szCs w:val="26"/>
        </w:rPr>
        <w:t xml:space="preserve">тся </w:t>
      </w:r>
      <w:r>
        <w:rPr>
          <w:sz w:val="26"/>
          <w:szCs w:val="26"/>
        </w:rPr>
        <w:t xml:space="preserve">бывшие в употреблении ж/б изделия (столбы)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0"/>
          <w:sz w:val="26"/>
          <w:szCs w:val="26"/>
        </w:rPr>
      </w:pPr>
      <w:r>
        <w:rPr>
          <w:rStyle w:val="920"/>
          <w:sz w:val="26"/>
          <w:szCs w:val="26"/>
        </w:rPr>
        <w:t xml:space="preserve">Получение электронной подписи и регистрация (аккредитация) на электронной площадке:</w:t>
      </w:r>
      <w:r>
        <w:rPr>
          <w:rStyle w:val="92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</w:t>
      </w:r>
      <w:r>
        <w:rPr>
          <w:rStyle w:val="920"/>
          <w:b w:val="0"/>
          <w:sz w:val="26"/>
          <w:szCs w:val="26"/>
        </w:rPr>
        <w:t xml:space="preserve">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20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Пройд</w:t>
      </w:r>
      <w:r>
        <w:rPr>
          <w:rStyle w:val="920"/>
          <w:b w:val="0"/>
          <w:sz w:val="26"/>
          <w:szCs w:val="26"/>
        </w:rPr>
        <w:t xml:space="preserve">я регистрацию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20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После регистраци</w:t>
      </w:r>
      <w:r>
        <w:rPr>
          <w:rStyle w:val="920"/>
          <w:b w:val="0"/>
          <w:sz w:val="26"/>
          <w:szCs w:val="26"/>
        </w:rPr>
        <w:t xml:space="preserve">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20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В случае если Пр</w:t>
      </w:r>
      <w:r>
        <w:rPr>
          <w:rStyle w:val="920"/>
          <w:b w:val="0"/>
          <w:sz w:val="26"/>
          <w:szCs w:val="26"/>
        </w:rPr>
        <w:t xml:space="preserve">етендент (юридическое лицо или индивидуальный предприниматель)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иметь машиночит</w:t>
      </w:r>
      <w:r>
        <w:rPr>
          <w:rStyle w:val="920"/>
          <w:b w:val="0"/>
          <w:sz w:val="26"/>
          <w:szCs w:val="26"/>
        </w:rPr>
        <w:t xml:space="preserve">аемую доверенность выданную в соответствии с Федеральным законом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государственные порталы.</w:t>
      </w:r>
      <w:r>
        <w:rPr>
          <w:rStyle w:val="920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20"/>
          <w:b w:val="0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20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«Служба поддержки» «Информационные материалы».</w:t>
      </w:r>
      <w:r>
        <w:rPr>
          <w:rStyle w:val="920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Для обеспечения доступа к под</w:t>
      </w:r>
      <w:r>
        <w:rPr>
          <w:rStyle w:val="920"/>
          <w:b w:val="0"/>
          <w:sz w:val="26"/>
          <w:szCs w:val="26"/>
        </w:rPr>
        <w:t xml:space="preserve">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определяющий правила функционирования электронной площадки</w:t>
      </w:r>
      <w:r>
        <w:t xml:space="preserve"> </w:t>
      </w:r>
      <w:r>
        <w:rPr>
          <w:rStyle w:val="920"/>
          <w:b w:val="0"/>
          <w:sz w:val="26"/>
          <w:szCs w:val="26"/>
        </w:rPr>
        <w:t xml:space="preserve">расположен в информационно-телекоммуникационной сети «Интернет»</w:t>
      </w:r>
      <w:r>
        <w:t xml:space="preserve"> </w:t>
      </w:r>
      <w:r>
        <w:rPr>
          <w:rStyle w:val="920"/>
          <w:b w:val="0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28"/>
            <w:bCs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28"/>
          <w:bCs/>
          <w:sz w:val="26"/>
          <w:szCs w:val="26"/>
        </w:rPr>
        <w:t xml:space="preserve"> </w:t>
      </w:r>
      <w:r>
        <w:rPr>
          <w:rStyle w:val="920"/>
          <w:b w:val="0"/>
          <w:sz w:val="26"/>
          <w:szCs w:val="26"/>
        </w:rPr>
        <w:t xml:space="preserve">.</w:t>
      </w:r>
      <w:r>
        <w:rPr>
          <w:rStyle w:val="920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0"/>
          <w:sz w:val="26"/>
          <w:szCs w:val="26"/>
        </w:rPr>
      </w:pPr>
      <w:r>
        <w:rPr>
          <w:rStyle w:val="920"/>
          <w:sz w:val="26"/>
          <w:szCs w:val="26"/>
        </w:rPr>
        <w:t xml:space="preserve">Заключение договора</w:t>
      </w:r>
      <w:r>
        <w:t xml:space="preserve"> </w:t>
      </w:r>
      <w:r>
        <w:rPr>
          <w:rStyle w:val="920"/>
          <w:sz w:val="26"/>
          <w:szCs w:val="26"/>
        </w:rPr>
        <w:t xml:space="preserve">в электронной форме:</w:t>
      </w:r>
      <w:r>
        <w:rPr>
          <w:rStyle w:val="92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Для заключения договора в электронной форме покупатель/арендатор должен быть зарегистрирован в ГИС Торги в качестве участника торгов.</w:t>
      </w:r>
      <w:r>
        <w:rPr>
          <w:rStyle w:val="920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20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20"/>
          <w:sz w:val="26"/>
          <w:szCs w:val="26"/>
        </w:rPr>
        <w:t xml:space="preserve">Начальная цена предмета аукциона: </w:t>
      </w:r>
      <w:r>
        <w:rPr>
          <w:rStyle w:val="920"/>
          <w:b w:val="0"/>
          <w:sz w:val="26"/>
          <w:szCs w:val="26"/>
        </w:rPr>
        <w:t xml:space="preserve">182 000 (сто восемьдесят две тысячи</w:t>
      </w:r>
      <w:r>
        <w:rPr>
          <w:rStyle w:val="920"/>
          <w:b w:val="0"/>
          <w:sz w:val="26"/>
          <w:szCs w:val="26"/>
        </w:rPr>
        <w:t xml:space="preserve">) рублей 00 копеек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Шаг аукциона: </w:t>
      </w:r>
      <w:r>
        <w:rPr>
          <w:sz w:val="26"/>
          <w:szCs w:val="26"/>
        </w:rPr>
        <w:t xml:space="preserve">9 100 (девять тысяч сто) рублей</w:t>
      </w:r>
      <w:r>
        <w:rPr>
          <w:sz w:val="26"/>
          <w:szCs w:val="26"/>
        </w:rPr>
        <w:t xml:space="preserve"> 00 копеек.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b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sz w:val="26"/>
          <w:szCs w:val="26"/>
        </w:rPr>
        <w:t xml:space="preserve"> в соответствии с Правилами землепользования и застройки </w:t>
      </w:r>
      <w:r>
        <w:rPr>
          <w:sz w:val="26"/>
          <w:szCs w:val="26"/>
        </w:rPr>
        <w:t xml:space="preserve">Вагайцевского</w:t>
      </w:r>
      <w:r>
        <w:rPr>
          <w:sz w:val="26"/>
          <w:szCs w:val="26"/>
        </w:rPr>
        <w:t xml:space="preserve"> сельсовета </w:t>
      </w:r>
      <w:r>
        <w:rPr>
          <w:sz w:val="26"/>
          <w:szCs w:val="26"/>
        </w:rPr>
        <w:t xml:space="preserve">Ордынског</w:t>
      </w:r>
      <w:r>
        <w:rPr>
          <w:sz w:val="26"/>
          <w:szCs w:val="26"/>
        </w:rPr>
        <w:t xml:space="preserve">о района Новосибирской области утверждёнными приказом Минс</w:t>
      </w:r>
      <w:r>
        <w:rPr>
          <w:sz w:val="26"/>
          <w:szCs w:val="26"/>
        </w:rPr>
        <w:t xml:space="preserve">троя Новосибирской области от 17.09.2019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543</w:t>
      </w:r>
      <w:r>
        <w:rPr>
          <w:sz w:val="26"/>
          <w:szCs w:val="26"/>
        </w:rPr>
        <w:t xml:space="preserve"> (ред. от 1</w:t>
      </w:r>
      <w:r>
        <w:rPr>
          <w:sz w:val="26"/>
          <w:szCs w:val="26"/>
        </w:rPr>
        <w:t xml:space="preserve">0.03</w:t>
      </w:r>
      <w:r>
        <w:rPr>
          <w:sz w:val="26"/>
          <w:szCs w:val="26"/>
        </w:rPr>
        <w:t xml:space="preserve">.2026) </w:t>
      </w:r>
      <w:r>
        <w:rPr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5"/>
        <w:gridCol w:w="776"/>
        <w:gridCol w:w="818"/>
        <w:gridCol w:w="1733"/>
        <w:gridCol w:w="680"/>
        <w:gridCol w:w="680"/>
        <w:gridCol w:w="1194"/>
        <w:gridCol w:w="1201"/>
      </w:tblGrid>
      <w:tr>
        <w:tblPrEx/>
        <w:trPr>
          <w:tblHeader/>
        </w:trPr>
        <w:tc>
          <w:tcPr>
            <w:tcW w:w="1322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 территориальной зоны (код)</w:t>
            </w:r>
            <w:r/>
          </w:p>
        </w:tc>
        <w:tc>
          <w:tcPr>
            <w:gridSpan w:val="7"/>
            <w:shd w:val="clear" w:color="auto" w:fill="ffffff"/>
            <w:tcW w:w="3678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/>
          </w:p>
        </w:tc>
      </w:tr>
      <w:tr>
        <w:tblPrEx/>
        <w:trPr>
          <w:tblHeader/>
        </w:trPr>
        <w:tc>
          <w:tcPr>
            <w:tcW w:w="1322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40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min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425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S </w:t>
            </w:r>
            <w:r>
              <w:t xml:space="preserve">max</w:t>
            </w:r>
            <w:r>
              <w:t xml:space="preserve">, (га)</w:t>
            </w:r>
            <w:r/>
          </w:p>
        </w:tc>
        <w:tc>
          <w:tcPr>
            <w:shd w:val="clear" w:color="auto" w:fill="ffffff"/>
            <w:tcW w:w="900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Отступ  </w:t>
            </w:r>
            <w:r>
              <w:t xml:space="preserve">min</w:t>
            </w:r>
            <w:r>
              <w:t xml:space="preserve">, (м)</w:t>
            </w:r>
            <w:r/>
          </w:p>
        </w:tc>
        <w:tc>
          <w:tcPr>
            <w:shd w:val="clear" w:color="auto" w:fill="ffffff"/>
            <w:tcW w:w="35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min</w:t>
            </w:r>
            <w:r>
              <w:t xml:space="preserve">, (ед.)</w:t>
            </w:r>
            <w:r/>
          </w:p>
        </w:tc>
        <w:tc>
          <w:tcPr>
            <w:shd w:val="clear" w:color="auto" w:fill="ffffff"/>
            <w:tcW w:w="353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Этаж </w:t>
            </w:r>
            <w:r>
              <w:t xml:space="preserve">max</w:t>
            </w:r>
            <w:r>
              <w:t xml:space="preserve">, (ед.)</w:t>
            </w:r>
            <w:r/>
          </w:p>
        </w:tc>
        <w:tc>
          <w:tcPr>
            <w:shd w:val="clear" w:color="auto" w:fill="ffffff"/>
            <w:tcW w:w="620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min</w:t>
            </w:r>
            <w:r>
              <w:t xml:space="preserve">, (%)</w:t>
            </w:r>
            <w:r/>
          </w:p>
        </w:tc>
        <w:tc>
          <w:tcPr>
            <w:shd w:val="clear" w:color="auto" w:fill="ffffff"/>
            <w:tcW w:w="624" w:type="pct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Процент застройки </w:t>
            </w:r>
            <w:r>
              <w:t xml:space="preserve">max</w:t>
            </w:r>
            <w:r>
              <w:t xml:space="preserve">, (%)</w:t>
            </w:r>
            <w:r/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shd w:val="clear" w:color="auto" w:fill="auto"/>
            <w:tcBorders>
              <w:top w:val="single" w:color="auto" w:sz="4" w:space="0"/>
            </w:tcBorders>
            <w:tcW w:w="1322" w:type="pct"/>
            <w:textDirection w:val="lrTb"/>
            <w:noWrap w:val="false"/>
          </w:tcPr>
          <w:p>
            <w:pPr>
              <w:pStyle w:val="9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</w:t>
            </w:r>
            <w:r>
              <w:rPr>
                <w:sz w:val="24"/>
              </w:rPr>
              <w:t xml:space="preserve">она</w:t>
            </w:r>
            <w:r>
              <w:rPr>
                <w:sz w:val="24"/>
              </w:rPr>
              <w:t xml:space="preserve"> сельскохозяйственного использования (Си</w:t>
            </w:r>
            <w:r>
              <w:rPr>
                <w:sz w:val="24"/>
              </w:rPr>
              <w:t xml:space="preserve">)</w:t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403" w:type="pct"/>
            <w:vAlign w:val="center"/>
            <w:textDirection w:val="lrTb"/>
            <w:noWrap w:val="false"/>
          </w:tcPr>
          <w:p>
            <w:pPr>
              <w:pStyle w:val="9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0,001</w:t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425" w:type="pct"/>
            <w:vAlign w:val="center"/>
            <w:textDirection w:val="lrTb"/>
            <w:noWrap w:val="false"/>
          </w:tcPr>
          <w:p>
            <w:pPr>
              <w:pStyle w:val="9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00</w:t>
            </w:r>
            <w:r>
              <w:rPr>
                <w:sz w:val="24"/>
              </w:rPr>
              <w:t xml:space="preserve">0,0</w:t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0" w:type="pct"/>
            <w:vAlign w:val="center"/>
            <w:textDirection w:val="lrTb"/>
            <w:noWrap w:val="false"/>
          </w:tcPr>
          <w:p>
            <w:pPr>
              <w:pStyle w:val="9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</w:t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53" w:type="pct"/>
            <w:vAlign w:val="center"/>
            <w:textDirection w:val="lrTb"/>
            <w:noWrap w:val="false"/>
          </w:tcPr>
          <w:p>
            <w:pPr>
              <w:pStyle w:val="9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53" w:type="pct"/>
            <w:vAlign w:val="center"/>
            <w:textDirection w:val="lrTb"/>
            <w:noWrap w:val="false"/>
          </w:tcPr>
          <w:p>
            <w:pPr>
              <w:pStyle w:val="9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Style w:val="9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624" w:type="pct"/>
            <w:vAlign w:val="center"/>
            <w:textDirection w:val="lrTb"/>
            <w:noWrap w:val="false"/>
          </w:tcPr>
          <w:p>
            <w:pPr>
              <w:pStyle w:val="9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80</w:t>
            </w:r>
            <w:r>
              <w:rPr>
                <w:sz w:val="24"/>
              </w:rPr>
            </w:r>
          </w:p>
        </w:tc>
      </w:tr>
    </w:tbl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/>
          <w:bCs/>
          <w:sz w:val="26"/>
          <w:szCs w:val="26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Сети водоснабжения (холодное) – возможность подключения отсутствует;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Сети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водоотведения – возможность подключения отсутствует;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Сети теплоснабжения – возможность подключения отсутствует;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Газоснабжение – возможность подключения отсутствует;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Место приема заявок на участие в аукционе: электронная площадка </w:t>
      </w:r>
      <w:r>
        <w:rPr>
          <w:color w:val="0000ff"/>
          <w:sz w:val="26"/>
          <w:szCs w:val="26"/>
        </w:rPr>
        <w:t xml:space="preserve">https://www.rts-tender.ru/property-sales</w:t>
      </w:r>
      <w:r>
        <w:rPr>
          <w:sz w:val="26"/>
          <w:szCs w:val="26"/>
        </w:rPr>
        <w:t xml:space="preserve">.</w:t>
      </w:r>
      <w:r>
        <w:rPr>
          <w:rStyle w:val="920"/>
          <w:b w:val="0"/>
          <w:sz w:val="26"/>
          <w:szCs w:val="26"/>
        </w:rPr>
        <w:t xml:space="preserve"> 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Дата и время начала приема заявок </w:t>
      </w:r>
      <w:r>
        <w:rPr>
          <w:rStyle w:val="920"/>
          <w:b w:val="0"/>
          <w:sz w:val="26"/>
          <w:szCs w:val="26"/>
        </w:rPr>
        <w:t xml:space="preserve">30 июля</w:t>
      </w:r>
      <w:r>
        <w:rPr>
          <w:rStyle w:val="920"/>
          <w:b w:val="0"/>
          <w:sz w:val="26"/>
          <w:szCs w:val="26"/>
        </w:rPr>
        <w:t xml:space="preserve"> 2026 года в 00-00 по местному времени. Прием заявок осуществляется круглосуточно.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Дата и время окончания приема заявок </w:t>
      </w:r>
      <w:r>
        <w:rPr>
          <w:rStyle w:val="920"/>
          <w:b w:val="0"/>
          <w:sz w:val="26"/>
          <w:szCs w:val="26"/>
        </w:rPr>
        <w:t xml:space="preserve">17 августа</w:t>
      </w:r>
      <w:r>
        <w:rPr>
          <w:rStyle w:val="920"/>
          <w:b w:val="0"/>
          <w:sz w:val="26"/>
          <w:szCs w:val="26"/>
        </w:rPr>
        <w:t xml:space="preserve"> 2026 года </w:t>
      </w:r>
      <w:r>
        <w:rPr>
          <w:rStyle w:val="920"/>
          <w:b w:val="0"/>
          <w:sz w:val="26"/>
          <w:szCs w:val="26"/>
        </w:rPr>
        <w:t xml:space="preserve">в</w:t>
      </w:r>
      <w:r>
        <w:rPr>
          <w:rStyle w:val="920"/>
          <w:b w:val="0"/>
          <w:sz w:val="26"/>
          <w:szCs w:val="26"/>
        </w:rPr>
        <w:t xml:space="preserve"> </w:t>
      </w:r>
      <w:r>
        <w:rPr>
          <w:rStyle w:val="920"/>
          <w:b w:val="0"/>
          <w:sz w:val="26"/>
          <w:szCs w:val="26"/>
        </w:rPr>
        <w:t xml:space="preserve">23</w:t>
      </w:r>
      <w:r>
        <w:rPr>
          <w:rStyle w:val="920"/>
          <w:b w:val="0"/>
          <w:sz w:val="26"/>
          <w:szCs w:val="26"/>
        </w:rPr>
        <w:t xml:space="preserve">-00 по местному времени.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rPr>
          <w:rStyle w:val="920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Дата, время и</w:t>
      </w:r>
      <w:r>
        <w:rPr>
          <w:rStyle w:val="920"/>
          <w:sz w:val="26"/>
          <w:szCs w:val="26"/>
        </w:rPr>
        <w:t xml:space="preserve"> место определения участников аукциона:</w:t>
      </w:r>
      <w:r>
        <w:rPr>
          <w:rStyle w:val="920"/>
          <w:b w:val="0"/>
          <w:sz w:val="26"/>
          <w:szCs w:val="26"/>
        </w:rPr>
        <w:t xml:space="preserve"> </w:t>
      </w:r>
      <w:r>
        <w:rPr>
          <w:sz w:val="26"/>
          <w:szCs w:val="26"/>
        </w:rPr>
        <w:t xml:space="preserve">19 августа</w:t>
      </w:r>
      <w:r>
        <w:rPr>
          <w:sz w:val="26"/>
          <w:szCs w:val="26"/>
        </w:rPr>
        <w:t xml:space="preserve"> 2026 года по адресу: город Новосибирск, Красный проспект, дом 18, этаж 1, кабинет № 105.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организатор аукциона принимает реше</w:t>
      </w:r>
      <w:r>
        <w:rPr>
          <w:sz w:val="26"/>
          <w:szCs w:val="26"/>
        </w:rPr>
        <w:t xml:space="preserve">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протокола рассмотрения заявок.</w:t>
      </w:r>
      <w:r>
        <w:rPr>
          <w:sz w:val="26"/>
          <w:szCs w:val="26"/>
        </w:rPr>
      </w:r>
    </w:p>
    <w:p>
      <w:pPr>
        <w:ind w:firstLine="709"/>
        <w:jc w:val="both"/>
        <w:keepNext/>
        <w:rPr>
          <w:rStyle w:val="920"/>
          <w:b w:val="0"/>
          <w:sz w:val="26"/>
          <w:szCs w:val="26"/>
        </w:rPr>
      </w:pPr>
      <w:r>
        <w:rPr>
          <w:b/>
          <w:sz w:val="26"/>
          <w:szCs w:val="26"/>
        </w:rPr>
        <w:t xml:space="preserve">Дата, время и место проведения аукциона: </w:t>
      </w:r>
      <w:r>
        <w:rPr>
          <w:rStyle w:val="920"/>
          <w:b w:val="0"/>
          <w:sz w:val="26"/>
          <w:szCs w:val="26"/>
        </w:rPr>
        <w:t xml:space="preserve">21 августа</w:t>
      </w:r>
      <w:r>
        <w:rPr>
          <w:rStyle w:val="920"/>
          <w:b w:val="0"/>
          <w:sz w:val="26"/>
          <w:szCs w:val="26"/>
        </w:rPr>
        <w:t xml:space="preserve"> 2026 года в 10:00 по местному времени электронная площадка </w:t>
      </w:r>
      <w:r>
        <w:rPr>
          <w:color w:val="0000ff"/>
          <w:sz w:val="26"/>
          <w:szCs w:val="26"/>
        </w:rPr>
        <w:t xml:space="preserve">https://www.rts-tender.ru/property-sales.</w:t>
      </w:r>
      <w:r>
        <w:rPr>
          <w:rStyle w:val="920"/>
          <w:b w:val="0"/>
          <w:sz w:val="26"/>
          <w:szCs w:val="26"/>
        </w:rPr>
        <w:t xml:space="preserve"> 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Дата и место подведения итогов аукциона: </w:t>
      </w:r>
      <w:r>
        <w:rPr>
          <w:rStyle w:val="920"/>
          <w:b w:val="0"/>
          <w:sz w:val="26"/>
          <w:szCs w:val="26"/>
        </w:rPr>
        <w:t xml:space="preserve">21 августа</w:t>
      </w:r>
      <w:r>
        <w:rPr>
          <w:rStyle w:val="920"/>
          <w:b w:val="0"/>
          <w:sz w:val="26"/>
          <w:szCs w:val="26"/>
        </w:rPr>
        <w:t xml:space="preserve"> 2026 года по адресу: город Новосибирск, Красный проспект, дом 18, этаж 1, кабинет № 10</w:t>
      </w:r>
      <w:r>
        <w:rPr>
          <w:color w:val="000000"/>
          <w:spacing w:val="2"/>
          <w:sz w:val="26"/>
          <w:szCs w:val="26"/>
        </w:rPr>
        <w:t xml:space="preserve">5</w:t>
      </w:r>
      <w:r>
        <w:rPr>
          <w:rStyle w:val="920"/>
          <w:b w:val="0"/>
          <w:sz w:val="26"/>
          <w:szCs w:val="26"/>
        </w:rPr>
        <w:t xml:space="preserve">.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keepNext/>
        <w:rPr>
          <w:rStyle w:val="920"/>
          <w:sz w:val="26"/>
          <w:szCs w:val="26"/>
        </w:rPr>
        <w:outlineLvl w:val="0"/>
      </w:pPr>
      <w:r>
        <w:rPr>
          <w:rStyle w:val="920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2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20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документы, подтверждающие внесение задатка.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20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20"/>
          <w:b w:val="0"/>
          <w:sz w:val="26"/>
          <w:szCs w:val="26"/>
        </w:rPr>
      </w:pPr>
      <w:r>
        <w:rPr>
          <w:rStyle w:val="920"/>
          <w:sz w:val="26"/>
          <w:szCs w:val="26"/>
        </w:rPr>
        <w:t xml:space="preserve">Размер задатка: </w:t>
      </w:r>
      <w:r>
        <w:rPr>
          <w:rStyle w:val="920"/>
          <w:b w:val="0"/>
          <w:sz w:val="26"/>
          <w:szCs w:val="26"/>
        </w:rPr>
        <w:t xml:space="preserve">182 000 (сто восемьдесят две тысячи</w:t>
      </w:r>
      <w:r>
        <w:rPr>
          <w:rStyle w:val="920"/>
          <w:b w:val="0"/>
          <w:sz w:val="26"/>
          <w:szCs w:val="26"/>
        </w:rPr>
        <w:t xml:space="preserve">) рублей 00 копеек.</w:t>
      </w:r>
      <w:r>
        <w:rPr>
          <w:rStyle w:val="920"/>
          <w:b w:val="0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bCs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20"/>
          <w:b w:val="0"/>
          <w:sz w:val="26"/>
          <w:szCs w:val="26"/>
        </w:rPr>
      </w:pPr>
      <w:r>
        <w:rPr>
          <w:bCs/>
          <w:sz w:val="26"/>
          <w:szCs w:val="26"/>
        </w:rPr>
        <w:t xml:space="preserve">Получатель:</w:t>
      </w:r>
      <w:r>
        <w:rPr>
          <w:b/>
          <w:bCs/>
          <w:sz w:val="26"/>
          <w:szCs w:val="26"/>
        </w:rPr>
        <w:t xml:space="preserve"> </w:t>
      </w:r>
      <w:r>
        <w:rPr>
          <w:rStyle w:val="920"/>
          <w:b w:val="0"/>
          <w:sz w:val="26"/>
          <w:szCs w:val="26"/>
        </w:rPr>
        <w:t xml:space="preserve">МФ и НП НСО (департамент имущества и земельных отношений Новосибирской области, </w:t>
      </w:r>
      <w:r>
        <w:rPr>
          <w:rStyle w:val="920"/>
          <w:b w:val="0"/>
          <w:sz w:val="26"/>
          <w:szCs w:val="26"/>
        </w:rPr>
        <w:t xml:space="preserve">лс</w:t>
      </w:r>
      <w:r>
        <w:rPr>
          <w:rStyle w:val="920"/>
          <w:b w:val="0"/>
          <w:sz w:val="26"/>
          <w:szCs w:val="26"/>
        </w:rPr>
        <w:t xml:space="preserve"> 190010013), ИНН 5406214965 / КПП 54060</w:t>
      </w:r>
      <w:r>
        <w:rPr>
          <w:rStyle w:val="920"/>
          <w:b w:val="0"/>
          <w:sz w:val="26"/>
          <w:szCs w:val="26"/>
        </w:rPr>
        <w:t xml:space="preserve">1001, ОКТМО 50701000, Сибирское ГУ Банка России//УФК по Новосибирской области г. Новосибирск, БИК 015004950, номер счета банка 40102810445370000043, номер счета получателя 03222643500000005100, назначение платежа: задаток для участия в аукционе ДИиЗО НСО, </w:t>
      </w:r>
      <w:r>
        <w:rPr>
          <w:color w:val="000000"/>
          <w:spacing w:val="2"/>
          <w:sz w:val="26"/>
          <w:szCs w:val="26"/>
        </w:rPr>
        <w:t xml:space="preserve">земельный участок </w:t>
      </w:r>
      <w:r>
        <w:rPr>
          <w:color w:val="000000"/>
          <w:sz w:val="26"/>
          <w:szCs w:val="26"/>
        </w:rPr>
        <w:t xml:space="preserve">с кадастровым номером </w:t>
      </w:r>
      <w:r>
        <w:rPr>
          <w:rFonts w:eastAsia="Calibri"/>
          <w:sz w:val="26"/>
          <w:szCs w:val="26"/>
        </w:rPr>
        <w:t xml:space="preserve">54:20:020901:2907</w:t>
      </w:r>
      <w:r>
        <w:rPr>
          <w:rStyle w:val="920"/>
          <w:b w:val="0"/>
          <w:sz w:val="26"/>
          <w:szCs w:val="26"/>
        </w:rPr>
        <w:t xml:space="preserve">.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Земельного кодекса Российской Федерации.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Возврат задатка производится организатором аукциона по реквизитам, указанным в заявлении о возврате задатка, в следующих случаях:</w:t>
      </w:r>
      <w:r>
        <w:rPr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в случае, если заявитель отозвал заявку на участие</w:t>
      </w:r>
      <w:r>
        <w:rPr>
          <w:rStyle w:val="920"/>
          <w:b w:val="0"/>
          <w:sz w:val="26"/>
          <w:szCs w:val="26"/>
        </w:rPr>
        <w:t xml:space="preserve"> в аукционе до дня окончания срока приема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20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20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</w:t>
      </w:r>
      <w:r>
        <w:rPr>
          <w:rStyle w:val="920"/>
          <w:b w:val="0"/>
          <w:sz w:val="26"/>
          <w:szCs w:val="26"/>
        </w:rPr>
        <w:t xml:space="preserve">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20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rStyle w:val="920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единственному принявшему участие в аукционе участнику; </w:t>
      </w:r>
      <w:r>
        <w:rPr>
          <w:rStyle w:val="920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участнику, признанному победителем аукциона;</w:t>
      </w:r>
      <w:r>
        <w:rPr>
          <w:rStyle w:val="920"/>
          <w:b w:val="0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rStyle w:val="920"/>
          <w:b w:val="0"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20"/>
          <w:sz w:val="26"/>
          <w:szCs w:val="26"/>
        </w:rPr>
      </w:pPr>
      <w:r>
        <w:rPr>
          <w:rStyle w:val="920"/>
          <w:sz w:val="26"/>
          <w:szCs w:val="26"/>
        </w:rPr>
        <w:t xml:space="preserve">Сведения</w:t>
      </w:r>
      <w:r>
        <w:rPr>
          <w:sz w:val="26"/>
          <w:szCs w:val="26"/>
        </w:rPr>
        <w:t xml:space="preserve"> </w:t>
      </w:r>
      <w:r>
        <w:rPr>
          <w:rStyle w:val="920"/>
          <w:sz w:val="26"/>
          <w:szCs w:val="26"/>
        </w:rPr>
        <w:t xml:space="preserve">о существенных условиях договора аренды земельного участка: </w:t>
      </w:r>
      <w:r>
        <w:rPr>
          <w:rStyle w:val="920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sz w:val="26"/>
          <w:szCs w:val="26"/>
        </w:rPr>
        <w:t xml:space="preserve">устанавливается по итогам аукциона;</w:t>
      </w:r>
      <w:r>
        <w:rPr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i/>
          <w:sz w:val="26"/>
          <w:szCs w:val="26"/>
        </w:rPr>
        <w:t xml:space="preserve">128 (сто двадцать восемь) месяцев</w:t>
      </w:r>
      <w:r>
        <w:rPr>
          <w:sz w:val="26"/>
          <w:szCs w:val="26"/>
        </w:rPr>
        <w:t xml:space="preserve"> с даты</w:t>
      </w:r>
      <w:r>
        <w:rPr>
          <w:bCs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20"/>
          <w:b w:val="0"/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арендная плата вносится ежеквартально равными частями не позднее первого числа квартала, следующего за расчетным периодом.</w:t>
      </w:r>
      <w:r>
        <w:rPr>
          <w:rStyle w:val="920"/>
          <w:b w:val="0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не допускается заключение договора аренды земельного уча</w:t>
      </w:r>
      <w:r>
        <w:rPr>
          <w:sz w:val="26"/>
          <w:szCs w:val="26"/>
        </w:rPr>
        <w:t xml:space="preserve">стка,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размещен на официальном сайте.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sz w:val="26"/>
            <w:szCs w:val="26"/>
          </w:rPr>
          <w:t xml:space="preserve">пунктом 11</w:t>
        </w:r>
      </w:hyperlink>
      <w:r>
        <w:rPr>
          <w:sz w:val="26"/>
          <w:szCs w:val="26"/>
        </w:rPr>
        <w:t xml:space="preserve"> статьи 39.13 Земельного кодекса Российской Федерации, направить победителю электронного аукциона или иным лицам, с которыми заключается договор аренды земельного участка, подписанный проект договора аренды земельного участка.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  <w:outlineLvl w:val="0"/>
      </w:pPr>
      <w:r>
        <w:rPr>
          <w:sz w:val="26"/>
          <w:szCs w:val="26"/>
        </w:rPr>
        <w:t xml:space="preserve">По результатам проведения электронного аукциона договор аренды земельного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будет им подписан и представлен в департамент имущ</w:t>
      </w:r>
      <w:r>
        <w:rPr>
          <w:bCs/>
          <w:sz w:val="26"/>
          <w:szCs w:val="26"/>
        </w:rPr>
        <w:t xml:space="preserve">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 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bCs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</w:t>
      </w:r>
      <w:r>
        <w:rPr>
          <w:bCs/>
          <w:sz w:val="26"/>
          <w:szCs w:val="26"/>
        </w:rPr>
        <w:t xml:space="preserve">тка этот участник не представил в уполномоченный орган подписанные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bCs/>
          <w:sz w:val="26"/>
          <w:szCs w:val="26"/>
        </w:rPr>
        <w:outlineLvl w:val="0"/>
      </w:pPr>
      <w:r>
        <w:rPr>
          <w:sz w:val="26"/>
          <w:szCs w:val="26"/>
        </w:rPr>
        <w:t xml:space="preserve">Осмотр земельного участка </w:t>
      </w:r>
      <w:r>
        <w:rPr>
          <w:bCs/>
          <w:sz w:val="26"/>
          <w:szCs w:val="26"/>
        </w:rPr>
        <w:t xml:space="preserve">заявителями осуществляется самостоятельно.</w:t>
      </w:r>
      <w:r>
        <w:rPr>
          <w:bCs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Информация об аукционе размещается </w:t>
      </w:r>
      <w:r>
        <w:rPr>
          <w:sz w:val="26"/>
          <w:szCs w:val="26"/>
        </w:rPr>
        <w:t xml:space="preserve">на официальном сайте торгов Российской Федерации </w:t>
      </w:r>
      <w:hyperlink r:id="rId18" w:tooltip="http://www.torgi.gov.ru" w:history="1">
        <w:r>
          <w:rPr>
            <w:rStyle w:val="928"/>
            <w:sz w:val="26"/>
            <w:szCs w:val="26"/>
            <w:lang w:val="en-US"/>
          </w:rPr>
          <w:t xml:space="preserve">www</w:t>
        </w:r>
        <w:r>
          <w:rPr>
            <w:rStyle w:val="928"/>
            <w:sz w:val="26"/>
            <w:szCs w:val="26"/>
          </w:rPr>
          <w:t xml:space="preserve">.</w:t>
        </w:r>
        <w:r>
          <w:rPr>
            <w:rStyle w:val="928"/>
            <w:sz w:val="26"/>
            <w:szCs w:val="26"/>
            <w:lang w:val="en-US"/>
          </w:rPr>
          <w:t xml:space="preserve">torgi</w:t>
        </w:r>
        <w:r>
          <w:rPr>
            <w:rStyle w:val="928"/>
            <w:sz w:val="26"/>
            <w:szCs w:val="26"/>
          </w:rPr>
          <w:t xml:space="preserve">.</w:t>
        </w:r>
        <w:r>
          <w:rPr>
            <w:rStyle w:val="928"/>
            <w:sz w:val="26"/>
            <w:szCs w:val="26"/>
            <w:lang w:val="en-US"/>
          </w:rPr>
          <w:t xml:space="preserve">gov</w:t>
        </w:r>
        <w:r>
          <w:rPr>
            <w:rStyle w:val="928"/>
            <w:sz w:val="26"/>
            <w:szCs w:val="26"/>
          </w:rPr>
          <w:t xml:space="preserve">.</w:t>
        </w:r>
        <w:r>
          <w:rPr>
            <w:rStyle w:val="928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и на официальном сайте департамента имущества и земельных отношений Новосибирской области www.dizo.nso.ru.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rStyle w:val="920"/>
          <w:b w:val="0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20"/>
          <w:b w:val="0"/>
          <w:sz w:val="26"/>
          <w:szCs w:val="26"/>
        </w:rPr>
        <w:t xml:space="preserve"> принимает решение об отказе в проведении аукциона.</w:t>
      </w:r>
      <w:r>
        <w:rPr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19" w:tooltip="http://www.torgi.gov.ru" w:history="1">
        <w:r>
          <w:rPr>
            <w:rStyle w:val="928"/>
            <w:sz w:val="26"/>
            <w:szCs w:val="26"/>
            <w:lang w:val="en-US"/>
          </w:rPr>
          <w:t xml:space="preserve">www</w:t>
        </w:r>
        <w:r>
          <w:rPr>
            <w:rStyle w:val="928"/>
            <w:sz w:val="26"/>
            <w:szCs w:val="26"/>
          </w:rPr>
          <w:t xml:space="preserve">.</w:t>
        </w:r>
        <w:r>
          <w:rPr>
            <w:rStyle w:val="928"/>
            <w:sz w:val="26"/>
            <w:szCs w:val="26"/>
            <w:lang w:val="en-US"/>
          </w:rPr>
          <w:t xml:space="preserve">torgi</w:t>
        </w:r>
        <w:r>
          <w:rPr>
            <w:rStyle w:val="928"/>
            <w:sz w:val="26"/>
            <w:szCs w:val="26"/>
          </w:rPr>
          <w:t xml:space="preserve">.</w:t>
        </w:r>
        <w:r>
          <w:rPr>
            <w:rStyle w:val="928"/>
            <w:sz w:val="26"/>
            <w:szCs w:val="26"/>
            <w:lang w:val="en-US"/>
          </w:rPr>
          <w:t xml:space="preserve">gov</w:t>
        </w:r>
        <w:r>
          <w:rPr>
            <w:rStyle w:val="928"/>
            <w:sz w:val="26"/>
            <w:szCs w:val="26"/>
          </w:rPr>
          <w:t xml:space="preserve">.</w:t>
        </w:r>
        <w:r>
          <w:rPr>
            <w:rStyle w:val="928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 в течение трех дней со дня принятия данного решения.</w:t>
      </w:r>
      <w:r>
        <w:rPr>
          <w:sz w:val="26"/>
          <w:szCs w:val="26"/>
        </w:rPr>
      </w:r>
    </w:p>
    <w:p>
      <w:pPr>
        <w:ind w:firstLine="709"/>
        <w:jc w:val="both"/>
        <w:rPr>
          <w:rStyle w:val="920"/>
          <w:b w:val="0"/>
          <w:bCs w:val="0"/>
          <w:sz w:val="28"/>
          <w:szCs w:val="28"/>
        </w:rPr>
      </w:pPr>
      <w:r>
        <w:rPr>
          <w:sz w:val="26"/>
          <w:szCs w:val="26"/>
        </w:rPr>
        <w:t xml:space="preserve">Приложением к настоящему извещению является: форма заявки на участие в аукционе</w:t>
      </w:r>
      <w:r>
        <w:rPr>
          <w:sz w:val="26"/>
          <w:szCs w:val="26"/>
        </w:rPr>
        <w:t xml:space="preserve"> и проект договора аренды.</w:t>
      </w:r>
      <w:r>
        <w:rPr>
          <w:rStyle w:val="920"/>
          <w:b w:val="0"/>
          <w:bCs w:val="0"/>
          <w:sz w:val="28"/>
          <w:szCs w:val="28"/>
        </w:rPr>
      </w:r>
    </w:p>
    <w:p>
      <w:pPr>
        <w:rPr>
          <w:rStyle w:val="920"/>
          <w:b w:val="0"/>
          <w:bCs w:val="0"/>
        </w:rPr>
      </w:pPr>
      <w:r>
        <w:rPr>
          <w:b w:val="0"/>
          <w:bCs w:val="0"/>
        </w:rPr>
      </w:r>
      <w:r>
        <w:rPr>
          <w:rStyle w:val="920"/>
          <w:b w:val="0"/>
          <w:bCs w:val="0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13</w:t>
    </w:r>
    <w:r>
      <w:fldChar w:fldCharType="end"/>
    </w:r>
    <w:r/>
  </w:p>
  <w:p>
    <w:pPr>
      <w:pStyle w:val="923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rPr>
        <w:rStyle w:val="924"/>
      </w:rPr>
      <w:framePr w:wrap="around" w:vAnchor="text" w:hAnchor="margin" w:xAlign="right" w:y="1"/>
    </w:pPr>
    <w:r>
      <w:rPr>
        <w:rStyle w:val="924"/>
      </w:rPr>
      <w:fldChar w:fldCharType="begin"/>
    </w:r>
    <w:r>
      <w:rPr>
        <w:rStyle w:val="924"/>
      </w:rPr>
      <w:instrText xml:space="preserve">PAGE  </w:instrText>
    </w:r>
    <w:r>
      <w:rPr>
        <w:rStyle w:val="924"/>
      </w:rPr>
      <w:fldChar w:fldCharType="end"/>
    </w:r>
    <w:r>
      <w:rPr>
        <w:rStyle w:val="924"/>
      </w:rPr>
    </w:r>
  </w:p>
  <w:p>
    <w:pPr>
      <w:pStyle w:val="923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2"/>
  </w:num>
  <w:num w:numId="5">
    <w:abstractNumId w:val="3"/>
  </w:num>
  <w:num w:numId="6">
    <w:abstractNumId w:val="13"/>
  </w:num>
  <w:num w:numId="7">
    <w:abstractNumId w:val="2"/>
  </w:num>
  <w:num w:numId="8">
    <w:abstractNumId w:val="9"/>
  </w:num>
  <w:num w:numId="9">
    <w:abstractNumId w:val="4"/>
  </w:num>
  <w:num w:numId="10">
    <w:abstractNumId w:val="14"/>
  </w:num>
  <w:num w:numId="11">
    <w:abstractNumId w:val="0"/>
  </w:num>
  <w:num w:numId="12">
    <w:abstractNumId w:val="6"/>
  </w:num>
  <w:num w:numId="13">
    <w:abstractNumId w:val="4"/>
  </w:num>
  <w:num w:numId="14">
    <w:abstractNumId w:val="6"/>
  </w:num>
  <w:num w:numId="15">
    <w:abstractNumId w:val="14"/>
  </w:num>
  <w:num w:numId="16">
    <w:abstractNumId w:val="4"/>
  </w:num>
  <w:num w:numId="17">
    <w:abstractNumId w:val="6"/>
  </w:num>
  <w:num w:numId="18">
    <w:abstractNumId w:val="14"/>
  </w:num>
  <w:num w:numId="19">
    <w:abstractNumId w:val="4"/>
  </w:num>
  <w:num w:numId="20">
    <w:abstractNumId w:val="6"/>
  </w:num>
  <w:num w:numId="21">
    <w:abstractNumId w:val="14"/>
  </w:num>
  <w:num w:numId="22">
    <w:abstractNumId w:val="11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53"/>
    <w:link w:val="74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53"/>
    <w:link w:val="74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53"/>
    <w:link w:val="74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53"/>
    <w:link w:val="74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53"/>
    <w:link w:val="74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53"/>
    <w:link w:val="74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53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53"/>
    <w:link w:val="75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53"/>
    <w:link w:val="752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53"/>
    <w:link w:val="766"/>
    <w:uiPriority w:val="10"/>
    <w:rPr>
      <w:sz w:val="48"/>
      <w:szCs w:val="48"/>
    </w:rPr>
  </w:style>
  <w:style w:type="character" w:styleId="37">
    <w:name w:val="Subtitle Char"/>
    <w:basedOn w:val="753"/>
    <w:link w:val="768"/>
    <w:uiPriority w:val="11"/>
    <w:rPr>
      <w:sz w:val="24"/>
      <w:szCs w:val="24"/>
    </w:rPr>
  </w:style>
  <w:style w:type="character" w:styleId="39">
    <w:name w:val="Quote Char"/>
    <w:link w:val="770"/>
    <w:uiPriority w:val="29"/>
    <w:rPr>
      <w:i/>
    </w:rPr>
  </w:style>
  <w:style w:type="character" w:styleId="41">
    <w:name w:val="Intense Quote Char"/>
    <w:link w:val="772"/>
    <w:uiPriority w:val="30"/>
    <w:rPr>
      <w:i/>
    </w:rPr>
  </w:style>
  <w:style w:type="character" w:styleId="47">
    <w:name w:val="Caption Char"/>
    <w:basedOn w:val="753"/>
    <w:link w:val="776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903"/>
    <w:uiPriority w:val="99"/>
    <w:rPr>
      <w:sz w:val="18"/>
    </w:rPr>
  </w:style>
  <w:style w:type="character" w:styleId="179">
    <w:name w:val="Endnote Text Char"/>
    <w:link w:val="906"/>
    <w:uiPriority w:val="99"/>
    <w:rPr>
      <w:sz w:val="20"/>
    </w:rPr>
  </w:style>
  <w:style w:type="paragraph" w:styleId="743" w:default="1">
    <w:name w:val="Normal"/>
    <w:qFormat/>
    <w:rPr>
      <w:sz w:val="24"/>
      <w:szCs w:val="24"/>
    </w:rPr>
  </w:style>
  <w:style w:type="paragraph" w:styleId="744">
    <w:name w:val="Heading 1"/>
    <w:basedOn w:val="743"/>
    <w:next w:val="743"/>
    <w:link w:val="7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5">
    <w:name w:val="Heading 2"/>
    <w:basedOn w:val="743"/>
    <w:next w:val="743"/>
    <w:link w:val="7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6">
    <w:name w:val="Heading 3"/>
    <w:basedOn w:val="743"/>
    <w:next w:val="743"/>
    <w:link w:val="7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7">
    <w:name w:val="Heading 4"/>
    <w:basedOn w:val="743"/>
    <w:next w:val="743"/>
    <w:link w:val="7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8">
    <w:name w:val="Heading 5"/>
    <w:basedOn w:val="743"/>
    <w:next w:val="743"/>
    <w:link w:val="76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49">
    <w:name w:val="Heading 6"/>
    <w:basedOn w:val="743"/>
    <w:next w:val="743"/>
    <w:link w:val="7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0">
    <w:name w:val="Heading 7"/>
    <w:basedOn w:val="743"/>
    <w:next w:val="743"/>
    <w:link w:val="7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1">
    <w:name w:val="Heading 8"/>
    <w:basedOn w:val="743"/>
    <w:next w:val="743"/>
    <w:link w:val="7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2">
    <w:name w:val="Heading 9"/>
    <w:basedOn w:val="743"/>
    <w:next w:val="743"/>
    <w:link w:val="76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3" w:default="1">
    <w:name w:val="Default Paragraph Font"/>
    <w:uiPriority w:val="1"/>
    <w:semiHidden/>
    <w:unhideWhenUsed/>
  </w:style>
  <w:style w:type="table" w:styleId="75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5" w:default="1">
    <w:name w:val="No List"/>
    <w:uiPriority w:val="99"/>
    <w:semiHidden/>
    <w:unhideWhenUsed/>
  </w:style>
  <w:style w:type="character" w:styleId="756" w:customStyle="1">
    <w:name w:val="Заголовок 1 Знак"/>
    <w:basedOn w:val="753"/>
    <w:link w:val="744"/>
    <w:uiPriority w:val="9"/>
    <w:rPr>
      <w:rFonts w:ascii="Arial" w:hAnsi="Arial" w:eastAsia="Arial" w:cs="Arial"/>
      <w:sz w:val="40"/>
      <w:szCs w:val="40"/>
    </w:rPr>
  </w:style>
  <w:style w:type="character" w:styleId="757" w:customStyle="1">
    <w:name w:val="Заголовок 2 Знак"/>
    <w:basedOn w:val="753"/>
    <w:link w:val="745"/>
    <w:uiPriority w:val="9"/>
    <w:rPr>
      <w:rFonts w:ascii="Arial" w:hAnsi="Arial" w:eastAsia="Arial" w:cs="Arial"/>
      <w:sz w:val="34"/>
    </w:rPr>
  </w:style>
  <w:style w:type="character" w:styleId="758" w:customStyle="1">
    <w:name w:val="Заголовок 3 Знак"/>
    <w:basedOn w:val="753"/>
    <w:link w:val="746"/>
    <w:uiPriority w:val="9"/>
    <w:rPr>
      <w:rFonts w:ascii="Arial" w:hAnsi="Arial" w:eastAsia="Arial" w:cs="Arial"/>
      <w:sz w:val="30"/>
      <w:szCs w:val="30"/>
    </w:rPr>
  </w:style>
  <w:style w:type="character" w:styleId="759" w:customStyle="1">
    <w:name w:val="Заголовок 4 Знак"/>
    <w:basedOn w:val="753"/>
    <w:link w:val="747"/>
    <w:uiPriority w:val="9"/>
    <w:rPr>
      <w:rFonts w:ascii="Arial" w:hAnsi="Arial" w:eastAsia="Arial" w:cs="Arial"/>
      <w:b/>
      <w:bCs/>
      <w:sz w:val="26"/>
      <w:szCs w:val="26"/>
    </w:rPr>
  </w:style>
  <w:style w:type="character" w:styleId="760" w:customStyle="1">
    <w:name w:val="Заголовок 5 Знак"/>
    <w:basedOn w:val="753"/>
    <w:link w:val="748"/>
    <w:uiPriority w:val="9"/>
    <w:rPr>
      <w:rFonts w:ascii="Arial" w:hAnsi="Arial" w:eastAsia="Arial" w:cs="Arial"/>
      <w:b/>
      <w:bCs/>
      <w:sz w:val="24"/>
      <w:szCs w:val="24"/>
    </w:rPr>
  </w:style>
  <w:style w:type="character" w:styleId="761" w:customStyle="1">
    <w:name w:val="Заголовок 6 Знак"/>
    <w:basedOn w:val="753"/>
    <w:link w:val="749"/>
    <w:uiPriority w:val="9"/>
    <w:rPr>
      <w:rFonts w:ascii="Arial" w:hAnsi="Arial" w:eastAsia="Arial" w:cs="Arial"/>
      <w:b/>
      <w:bCs/>
      <w:sz w:val="22"/>
      <w:szCs w:val="22"/>
    </w:rPr>
  </w:style>
  <w:style w:type="character" w:styleId="762" w:customStyle="1">
    <w:name w:val="Заголовок 7 Знак"/>
    <w:basedOn w:val="753"/>
    <w:link w:val="7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3" w:customStyle="1">
    <w:name w:val="Заголовок 8 Знак"/>
    <w:basedOn w:val="753"/>
    <w:link w:val="751"/>
    <w:uiPriority w:val="9"/>
    <w:rPr>
      <w:rFonts w:ascii="Arial" w:hAnsi="Arial" w:eastAsia="Arial" w:cs="Arial"/>
      <w:i/>
      <w:iCs/>
      <w:sz w:val="22"/>
      <w:szCs w:val="22"/>
    </w:rPr>
  </w:style>
  <w:style w:type="character" w:styleId="764" w:customStyle="1">
    <w:name w:val="Заголовок 9 Знак"/>
    <w:basedOn w:val="753"/>
    <w:link w:val="752"/>
    <w:uiPriority w:val="9"/>
    <w:rPr>
      <w:rFonts w:ascii="Arial" w:hAnsi="Arial" w:eastAsia="Arial" w:cs="Arial"/>
      <w:i/>
      <w:iCs/>
      <w:sz w:val="21"/>
      <w:szCs w:val="21"/>
    </w:rPr>
  </w:style>
  <w:style w:type="paragraph" w:styleId="765">
    <w:name w:val="No Spacing"/>
    <w:uiPriority w:val="1"/>
    <w:qFormat/>
  </w:style>
  <w:style w:type="paragraph" w:styleId="766">
    <w:name w:val="Title"/>
    <w:basedOn w:val="743"/>
    <w:next w:val="743"/>
    <w:link w:val="76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7" w:customStyle="1">
    <w:name w:val="Заголовок Знак"/>
    <w:basedOn w:val="753"/>
    <w:link w:val="766"/>
    <w:uiPriority w:val="10"/>
    <w:rPr>
      <w:sz w:val="48"/>
      <w:szCs w:val="48"/>
    </w:rPr>
  </w:style>
  <w:style w:type="paragraph" w:styleId="768">
    <w:name w:val="Subtitle"/>
    <w:basedOn w:val="743"/>
    <w:next w:val="743"/>
    <w:link w:val="769"/>
    <w:uiPriority w:val="11"/>
    <w:qFormat/>
    <w:pPr>
      <w:spacing w:before="200" w:after="200"/>
    </w:pPr>
  </w:style>
  <w:style w:type="character" w:styleId="769" w:customStyle="1">
    <w:name w:val="Подзаголовок Знак"/>
    <w:basedOn w:val="753"/>
    <w:link w:val="768"/>
    <w:uiPriority w:val="11"/>
    <w:rPr>
      <w:sz w:val="24"/>
      <w:szCs w:val="24"/>
    </w:rPr>
  </w:style>
  <w:style w:type="paragraph" w:styleId="770">
    <w:name w:val="Quote"/>
    <w:basedOn w:val="743"/>
    <w:next w:val="743"/>
    <w:link w:val="771"/>
    <w:uiPriority w:val="29"/>
    <w:qFormat/>
    <w:pPr>
      <w:ind w:left="720" w:right="720"/>
    </w:pPr>
    <w:rPr>
      <w:i/>
    </w:rPr>
  </w:style>
  <w:style w:type="character" w:styleId="771" w:customStyle="1">
    <w:name w:val="Цитата 2 Знак"/>
    <w:link w:val="770"/>
    <w:uiPriority w:val="29"/>
    <w:rPr>
      <w:i/>
    </w:rPr>
  </w:style>
  <w:style w:type="paragraph" w:styleId="772">
    <w:name w:val="Intense Quote"/>
    <w:basedOn w:val="743"/>
    <w:next w:val="743"/>
    <w:link w:val="77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3" w:customStyle="1">
    <w:name w:val="Выделенная цитата Знак"/>
    <w:link w:val="772"/>
    <w:uiPriority w:val="30"/>
    <w:rPr>
      <w:i/>
    </w:rPr>
  </w:style>
  <w:style w:type="character" w:styleId="774" w:customStyle="1">
    <w:name w:val="Header Char"/>
    <w:basedOn w:val="753"/>
    <w:uiPriority w:val="99"/>
  </w:style>
  <w:style w:type="character" w:styleId="775" w:customStyle="1">
    <w:name w:val="Footer Char"/>
    <w:basedOn w:val="753"/>
    <w:uiPriority w:val="99"/>
  </w:style>
  <w:style w:type="paragraph" w:styleId="776">
    <w:name w:val="Caption"/>
    <w:basedOn w:val="743"/>
    <w:next w:val="743"/>
    <w:link w:val="77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7" w:customStyle="1">
    <w:name w:val="Название объекта Знак"/>
    <w:basedOn w:val="753"/>
    <w:link w:val="776"/>
    <w:uiPriority w:val="35"/>
    <w:rPr>
      <w:b/>
      <w:bCs/>
      <w:color w:val="4f81bd" w:themeColor="accent1"/>
      <w:sz w:val="18"/>
      <w:szCs w:val="18"/>
    </w:rPr>
  </w:style>
  <w:style w:type="table" w:styleId="778" w:customStyle="1">
    <w:name w:val="Table Grid Light"/>
    <w:basedOn w:val="75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9">
    <w:name w:val="Plain Table 1"/>
    <w:basedOn w:val="75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0">
    <w:name w:val="Plain Table 2"/>
    <w:basedOn w:val="75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>
    <w:name w:val="Plain Table 3"/>
    <w:basedOn w:val="75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2">
    <w:name w:val="Plain Table 4"/>
    <w:basedOn w:val="75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Plain Table 5"/>
    <w:basedOn w:val="75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4">
    <w:name w:val="Grid Table 1 Light"/>
    <w:basedOn w:val="75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1"/>
    <w:basedOn w:val="75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2"/>
    <w:basedOn w:val="75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3"/>
    <w:basedOn w:val="75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4"/>
    <w:basedOn w:val="75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5"/>
    <w:basedOn w:val="75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6"/>
    <w:basedOn w:val="75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2"/>
    <w:basedOn w:val="75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1"/>
    <w:basedOn w:val="75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2"/>
    <w:basedOn w:val="75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3"/>
    <w:basedOn w:val="75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4"/>
    <w:basedOn w:val="75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5"/>
    <w:basedOn w:val="75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6"/>
    <w:basedOn w:val="75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"/>
    <w:basedOn w:val="75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1"/>
    <w:basedOn w:val="75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2"/>
    <w:basedOn w:val="75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3"/>
    <w:basedOn w:val="75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4"/>
    <w:basedOn w:val="75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5"/>
    <w:basedOn w:val="75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6"/>
    <w:basedOn w:val="75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4"/>
    <w:basedOn w:val="75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6" w:customStyle="1">
    <w:name w:val="Grid Table 4 - Accent 1"/>
    <w:basedOn w:val="75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7" w:customStyle="1">
    <w:name w:val="Grid Table 4 - Accent 2"/>
    <w:basedOn w:val="75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8" w:customStyle="1">
    <w:name w:val="Grid Table 4 - Accent 3"/>
    <w:basedOn w:val="75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9" w:customStyle="1">
    <w:name w:val="Grid Table 4 - Accent 4"/>
    <w:basedOn w:val="75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10" w:customStyle="1">
    <w:name w:val="Grid Table 4 - Accent 5"/>
    <w:basedOn w:val="75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1" w:customStyle="1">
    <w:name w:val="Grid Table 4 - Accent 6"/>
    <w:basedOn w:val="75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2">
    <w:name w:val="Grid Table 5 Dark"/>
    <w:basedOn w:val="75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- Accent 1"/>
    <w:basedOn w:val="75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2"/>
    <w:basedOn w:val="75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 - Accent 3"/>
    <w:basedOn w:val="75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- Accent 4"/>
    <w:basedOn w:val="75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5"/>
    <w:basedOn w:val="75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 - Accent 6"/>
    <w:basedOn w:val="75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9">
    <w:name w:val="Grid Table 6 Colorful"/>
    <w:basedOn w:val="75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0" w:customStyle="1">
    <w:name w:val="Grid Table 6 Colorful - Accent 1"/>
    <w:basedOn w:val="75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1" w:customStyle="1">
    <w:name w:val="Grid Table 6 Colorful - Accent 2"/>
    <w:basedOn w:val="75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2" w:customStyle="1">
    <w:name w:val="Grid Table 6 Colorful - Accent 3"/>
    <w:basedOn w:val="75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3" w:customStyle="1">
    <w:name w:val="Grid Table 6 Colorful - Accent 4"/>
    <w:basedOn w:val="75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4" w:customStyle="1">
    <w:name w:val="Grid Table 6 Colorful - Accent 5"/>
    <w:basedOn w:val="75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5" w:customStyle="1">
    <w:name w:val="Grid Table 6 Colorful - Accent 6"/>
    <w:basedOn w:val="75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6">
    <w:name w:val="Grid Table 7 Colorful"/>
    <w:basedOn w:val="75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1"/>
    <w:basedOn w:val="75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2"/>
    <w:basedOn w:val="75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3"/>
    <w:basedOn w:val="75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7 Colorful - Accent 4"/>
    <w:basedOn w:val="75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7 Colorful - Accent 5"/>
    <w:basedOn w:val="75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7 Colorful - Accent 6"/>
    <w:basedOn w:val="75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"/>
    <w:basedOn w:val="75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1"/>
    <w:basedOn w:val="75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2"/>
    <w:basedOn w:val="75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3"/>
    <w:basedOn w:val="75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4"/>
    <w:basedOn w:val="75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5"/>
    <w:basedOn w:val="75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6"/>
    <w:basedOn w:val="75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2"/>
    <w:basedOn w:val="75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1"/>
    <w:basedOn w:val="75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2"/>
    <w:basedOn w:val="75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3"/>
    <w:basedOn w:val="75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4"/>
    <w:basedOn w:val="75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5"/>
    <w:basedOn w:val="75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6"/>
    <w:basedOn w:val="75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7">
    <w:name w:val="List Table 3"/>
    <w:basedOn w:val="75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1"/>
    <w:basedOn w:val="75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2"/>
    <w:basedOn w:val="75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3"/>
    <w:basedOn w:val="75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4"/>
    <w:basedOn w:val="75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5"/>
    <w:basedOn w:val="75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6"/>
    <w:basedOn w:val="75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"/>
    <w:basedOn w:val="75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1"/>
    <w:basedOn w:val="75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2"/>
    <w:basedOn w:val="75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3"/>
    <w:basedOn w:val="75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4"/>
    <w:basedOn w:val="75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5"/>
    <w:basedOn w:val="75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6"/>
    <w:basedOn w:val="75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5 Dark"/>
    <w:basedOn w:val="75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1"/>
    <w:basedOn w:val="75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2"/>
    <w:basedOn w:val="75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3"/>
    <w:basedOn w:val="75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4"/>
    <w:basedOn w:val="75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5"/>
    <w:basedOn w:val="75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List Table 5 Dark - Accent 6"/>
    <w:basedOn w:val="75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8">
    <w:name w:val="List Table 6 Colorful"/>
    <w:basedOn w:val="75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9" w:customStyle="1">
    <w:name w:val="List Table 6 Colorful - Accent 1"/>
    <w:basedOn w:val="75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0" w:customStyle="1">
    <w:name w:val="List Table 6 Colorful - Accent 2"/>
    <w:basedOn w:val="75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1" w:customStyle="1">
    <w:name w:val="List Table 6 Colorful - Accent 3"/>
    <w:basedOn w:val="75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2" w:customStyle="1">
    <w:name w:val="List Table 6 Colorful - Accent 4"/>
    <w:basedOn w:val="75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3" w:customStyle="1">
    <w:name w:val="List Table 6 Colorful - Accent 5"/>
    <w:basedOn w:val="75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4" w:customStyle="1">
    <w:name w:val="List Table 6 Colorful - Accent 6"/>
    <w:basedOn w:val="75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5">
    <w:name w:val="List Table 7 Colorful"/>
    <w:basedOn w:val="75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1"/>
    <w:basedOn w:val="75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2"/>
    <w:basedOn w:val="75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3"/>
    <w:basedOn w:val="75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st Table 7 Colorful - Accent 4"/>
    <w:basedOn w:val="75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List Table 7 Colorful - Accent 5"/>
    <w:basedOn w:val="75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List Table 7 Colorful - Accent 6"/>
    <w:basedOn w:val="75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ned - Accent"/>
    <w:basedOn w:val="75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3" w:customStyle="1">
    <w:name w:val="Lined - Accent 1"/>
    <w:basedOn w:val="75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4" w:customStyle="1">
    <w:name w:val="Lined - Accent 2"/>
    <w:basedOn w:val="75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5" w:customStyle="1">
    <w:name w:val="Lined - Accent 3"/>
    <w:basedOn w:val="75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6" w:customStyle="1">
    <w:name w:val="Lined - Accent 4"/>
    <w:basedOn w:val="75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7" w:customStyle="1">
    <w:name w:val="Lined - Accent 5"/>
    <w:basedOn w:val="75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8" w:customStyle="1">
    <w:name w:val="Lined - Accent 6"/>
    <w:basedOn w:val="754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9" w:customStyle="1">
    <w:name w:val="Bordered &amp; Lined - Accent"/>
    <w:basedOn w:val="754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0" w:customStyle="1">
    <w:name w:val="Bordered &amp; Lined - Accent 1"/>
    <w:basedOn w:val="754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1" w:customStyle="1">
    <w:name w:val="Bordered &amp; Lined - Accent 2"/>
    <w:basedOn w:val="754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2" w:customStyle="1">
    <w:name w:val="Bordered &amp; Lined - Accent 3"/>
    <w:basedOn w:val="754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3" w:customStyle="1">
    <w:name w:val="Bordered &amp; Lined - Accent 4"/>
    <w:basedOn w:val="754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4" w:customStyle="1">
    <w:name w:val="Bordered &amp; Lined - Accent 5"/>
    <w:basedOn w:val="754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5" w:customStyle="1">
    <w:name w:val="Bordered &amp; Lined - Accent 6"/>
    <w:basedOn w:val="754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6" w:customStyle="1">
    <w:name w:val="Bordered"/>
    <w:basedOn w:val="75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7" w:customStyle="1">
    <w:name w:val="Bordered - Accent 1"/>
    <w:basedOn w:val="75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8" w:customStyle="1">
    <w:name w:val="Bordered - Accent 2"/>
    <w:basedOn w:val="75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9" w:customStyle="1">
    <w:name w:val="Bordered - Accent 3"/>
    <w:basedOn w:val="75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00" w:customStyle="1">
    <w:name w:val="Bordered - Accent 4"/>
    <w:basedOn w:val="75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1" w:customStyle="1">
    <w:name w:val="Bordered - Accent 5"/>
    <w:basedOn w:val="75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2" w:customStyle="1">
    <w:name w:val="Bordered - Accent 6"/>
    <w:basedOn w:val="75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03">
    <w:name w:val="footnote text"/>
    <w:basedOn w:val="743"/>
    <w:link w:val="904"/>
    <w:uiPriority w:val="99"/>
    <w:semiHidden/>
    <w:unhideWhenUsed/>
    <w:pPr>
      <w:spacing w:after="40"/>
    </w:pPr>
    <w:rPr>
      <w:sz w:val="18"/>
    </w:rPr>
  </w:style>
  <w:style w:type="character" w:styleId="904" w:customStyle="1">
    <w:name w:val="Текст сноски Знак"/>
    <w:link w:val="903"/>
    <w:uiPriority w:val="99"/>
    <w:rPr>
      <w:sz w:val="18"/>
    </w:rPr>
  </w:style>
  <w:style w:type="character" w:styleId="905">
    <w:name w:val="footnote reference"/>
    <w:basedOn w:val="753"/>
    <w:uiPriority w:val="99"/>
    <w:unhideWhenUsed/>
    <w:rPr>
      <w:vertAlign w:val="superscript"/>
    </w:rPr>
  </w:style>
  <w:style w:type="paragraph" w:styleId="906">
    <w:name w:val="endnote text"/>
    <w:basedOn w:val="743"/>
    <w:link w:val="907"/>
    <w:uiPriority w:val="99"/>
    <w:semiHidden/>
    <w:unhideWhenUsed/>
    <w:rPr>
      <w:sz w:val="20"/>
    </w:rPr>
  </w:style>
  <w:style w:type="character" w:styleId="907" w:customStyle="1">
    <w:name w:val="Текст концевой сноски Знак"/>
    <w:link w:val="906"/>
    <w:uiPriority w:val="99"/>
    <w:rPr>
      <w:sz w:val="20"/>
    </w:rPr>
  </w:style>
  <w:style w:type="character" w:styleId="908">
    <w:name w:val="endnote reference"/>
    <w:basedOn w:val="753"/>
    <w:uiPriority w:val="99"/>
    <w:semiHidden/>
    <w:unhideWhenUsed/>
    <w:rPr>
      <w:vertAlign w:val="superscript"/>
    </w:rPr>
  </w:style>
  <w:style w:type="paragraph" w:styleId="909">
    <w:name w:val="toc 1"/>
    <w:basedOn w:val="743"/>
    <w:next w:val="743"/>
    <w:uiPriority w:val="39"/>
    <w:unhideWhenUsed/>
    <w:pPr>
      <w:spacing w:after="57"/>
    </w:pPr>
  </w:style>
  <w:style w:type="paragraph" w:styleId="910">
    <w:name w:val="toc 2"/>
    <w:basedOn w:val="743"/>
    <w:next w:val="743"/>
    <w:uiPriority w:val="39"/>
    <w:unhideWhenUsed/>
    <w:pPr>
      <w:ind w:left="283"/>
      <w:spacing w:after="57"/>
    </w:pPr>
  </w:style>
  <w:style w:type="paragraph" w:styleId="911">
    <w:name w:val="toc 3"/>
    <w:basedOn w:val="743"/>
    <w:next w:val="743"/>
    <w:uiPriority w:val="39"/>
    <w:unhideWhenUsed/>
    <w:pPr>
      <w:ind w:left="567"/>
      <w:spacing w:after="57"/>
    </w:pPr>
  </w:style>
  <w:style w:type="paragraph" w:styleId="912">
    <w:name w:val="toc 4"/>
    <w:basedOn w:val="743"/>
    <w:next w:val="743"/>
    <w:uiPriority w:val="39"/>
    <w:unhideWhenUsed/>
    <w:pPr>
      <w:ind w:left="850"/>
      <w:spacing w:after="57"/>
    </w:pPr>
  </w:style>
  <w:style w:type="paragraph" w:styleId="913">
    <w:name w:val="toc 5"/>
    <w:basedOn w:val="743"/>
    <w:next w:val="743"/>
    <w:uiPriority w:val="39"/>
    <w:unhideWhenUsed/>
    <w:pPr>
      <w:ind w:left="1134"/>
      <w:spacing w:after="57"/>
    </w:pPr>
  </w:style>
  <w:style w:type="paragraph" w:styleId="914">
    <w:name w:val="toc 6"/>
    <w:basedOn w:val="743"/>
    <w:next w:val="743"/>
    <w:uiPriority w:val="39"/>
    <w:unhideWhenUsed/>
    <w:pPr>
      <w:ind w:left="1417"/>
      <w:spacing w:after="57"/>
    </w:pPr>
  </w:style>
  <w:style w:type="paragraph" w:styleId="915">
    <w:name w:val="toc 7"/>
    <w:basedOn w:val="743"/>
    <w:next w:val="743"/>
    <w:uiPriority w:val="39"/>
    <w:unhideWhenUsed/>
    <w:pPr>
      <w:ind w:left="1701"/>
      <w:spacing w:after="57"/>
    </w:pPr>
  </w:style>
  <w:style w:type="paragraph" w:styleId="916">
    <w:name w:val="toc 8"/>
    <w:basedOn w:val="743"/>
    <w:next w:val="743"/>
    <w:uiPriority w:val="39"/>
    <w:unhideWhenUsed/>
    <w:pPr>
      <w:ind w:left="1984"/>
      <w:spacing w:after="57"/>
    </w:pPr>
  </w:style>
  <w:style w:type="paragraph" w:styleId="917">
    <w:name w:val="toc 9"/>
    <w:basedOn w:val="743"/>
    <w:next w:val="743"/>
    <w:uiPriority w:val="39"/>
    <w:unhideWhenUsed/>
    <w:pPr>
      <w:ind w:left="2268"/>
      <w:spacing w:after="57"/>
    </w:pPr>
  </w:style>
  <w:style w:type="paragraph" w:styleId="918">
    <w:name w:val="TOC Heading"/>
    <w:uiPriority w:val="39"/>
    <w:unhideWhenUsed/>
  </w:style>
  <w:style w:type="paragraph" w:styleId="919">
    <w:name w:val="table of figures"/>
    <w:basedOn w:val="743"/>
    <w:next w:val="743"/>
    <w:uiPriority w:val="99"/>
    <w:unhideWhenUsed/>
  </w:style>
  <w:style w:type="character" w:styleId="920">
    <w:name w:val="Strong"/>
    <w:qFormat/>
    <w:rPr>
      <w:b/>
      <w:bCs/>
    </w:rPr>
  </w:style>
  <w:style w:type="paragraph" w:styleId="921">
    <w:name w:val="Document Map"/>
    <w:basedOn w:val="743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22">
    <w:name w:val="Table Grid"/>
    <w:basedOn w:val="75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3">
    <w:name w:val="Footer"/>
    <w:basedOn w:val="743"/>
    <w:link w:val="936"/>
    <w:uiPriority w:val="99"/>
    <w:pPr>
      <w:tabs>
        <w:tab w:val="center" w:pos="4677" w:leader="none"/>
        <w:tab w:val="right" w:pos="9355" w:leader="none"/>
      </w:tabs>
    </w:pPr>
  </w:style>
  <w:style w:type="character" w:styleId="924">
    <w:name w:val="page number"/>
    <w:basedOn w:val="753"/>
  </w:style>
  <w:style w:type="paragraph" w:styleId="925">
    <w:name w:val="List Paragraph"/>
    <w:basedOn w:val="743"/>
    <w:uiPriority w:val="34"/>
    <w:qFormat/>
    <w:pPr>
      <w:contextualSpacing/>
      <w:ind w:left="720"/>
    </w:pPr>
  </w:style>
  <w:style w:type="paragraph" w:styleId="926">
    <w:name w:val="Balloon Text"/>
    <w:basedOn w:val="743"/>
    <w:link w:val="927"/>
    <w:uiPriority w:val="99"/>
    <w:semiHidden/>
    <w:unhideWhenUsed/>
    <w:rPr>
      <w:rFonts w:ascii="Tahoma" w:hAnsi="Tahoma"/>
      <w:sz w:val="16"/>
      <w:szCs w:val="16"/>
    </w:rPr>
  </w:style>
  <w:style w:type="character" w:styleId="927" w:customStyle="1">
    <w:name w:val="Текст выноски Знак"/>
    <w:link w:val="926"/>
    <w:uiPriority w:val="99"/>
    <w:semiHidden/>
    <w:rPr>
      <w:rFonts w:ascii="Tahoma" w:hAnsi="Tahoma" w:cs="Tahoma"/>
      <w:sz w:val="16"/>
      <w:szCs w:val="16"/>
    </w:rPr>
  </w:style>
  <w:style w:type="character" w:styleId="928">
    <w:name w:val="Hyperlink"/>
    <w:uiPriority w:val="99"/>
    <w:unhideWhenUsed/>
    <w:rPr>
      <w:color w:val="0000ff"/>
      <w:u w:val="single"/>
    </w:rPr>
  </w:style>
  <w:style w:type="paragraph" w:styleId="929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30">
    <w:name w:val="Header"/>
    <w:basedOn w:val="743"/>
    <w:link w:val="93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31" w:customStyle="1">
    <w:name w:val="Верхний колонтитул Знак"/>
    <w:link w:val="930"/>
    <w:uiPriority w:val="99"/>
    <w:rPr>
      <w:sz w:val="24"/>
      <w:szCs w:val="24"/>
    </w:rPr>
  </w:style>
  <w:style w:type="paragraph" w:styleId="932">
    <w:name w:val="Normal (Web)"/>
    <w:basedOn w:val="743"/>
    <w:link w:val="933"/>
    <w:pPr>
      <w:spacing w:before="100" w:beforeAutospacing="1" w:after="100" w:afterAutospacing="1"/>
    </w:pPr>
  </w:style>
  <w:style w:type="character" w:styleId="933" w:customStyle="1">
    <w:name w:val="Обычный (веб) Знак"/>
    <w:link w:val="932"/>
    <w:rPr>
      <w:sz w:val="24"/>
      <w:szCs w:val="24"/>
    </w:rPr>
  </w:style>
  <w:style w:type="paragraph" w:styleId="934">
    <w:name w:val="Body Text Indent 3"/>
    <w:basedOn w:val="743"/>
    <w:link w:val="935"/>
    <w:pPr>
      <w:ind w:right="-143" w:firstLine="709"/>
      <w:jc w:val="both"/>
    </w:pPr>
    <w:rPr>
      <w:sz w:val="28"/>
      <w:szCs w:val="28"/>
    </w:rPr>
  </w:style>
  <w:style w:type="character" w:styleId="935" w:customStyle="1">
    <w:name w:val="Основной текст с отступом 3 Знак"/>
    <w:link w:val="934"/>
    <w:rPr>
      <w:sz w:val="28"/>
      <w:szCs w:val="28"/>
    </w:rPr>
  </w:style>
  <w:style w:type="character" w:styleId="936" w:customStyle="1">
    <w:name w:val="Нижний колонтитул Знак"/>
    <w:link w:val="923"/>
    <w:uiPriority w:val="99"/>
    <w:rPr>
      <w:sz w:val="24"/>
      <w:szCs w:val="24"/>
    </w:rPr>
  </w:style>
  <w:style w:type="paragraph" w:styleId="937">
    <w:name w:val="Body Text Indent"/>
    <w:basedOn w:val="743"/>
    <w:link w:val="938"/>
    <w:uiPriority w:val="99"/>
    <w:semiHidden/>
    <w:unhideWhenUsed/>
    <w:pPr>
      <w:ind w:left="283"/>
      <w:spacing w:after="120"/>
    </w:pPr>
  </w:style>
  <w:style w:type="character" w:styleId="938" w:customStyle="1">
    <w:name w:val="Основной текст с отступом Знак"/>
    <w:basedOn w:val="753"/>
    <w:link w:val="937"/>
    <w:uiPriority w:val="99"/>
    <w:semiHidden/>
    <w:rPr>
      <w:sz w:val="24"/>
      <w:szCs w:val="24"/>
    </w:rPr>
  </w:style>
  <w:style w:type="paragraph" w:styleId="939" w:customStyle="1">
    <w:name w:val="ConsPlusNormal"/>
    <w:rPr>
      <w:sz w:val="28"/>
      <w:szCs w:val="28"/>
    </w:rPr>
  </w:style>
  <w:style w:type="paragraph" w:styleId="940" w:customStyle="1">
    <w:name w:val="Табличный_боковик_11"/>
    <w:link w:val="941"/>
    <w:qFormat/>
    <w:rPr>
      <w:sz w:val="22"/>
      <w:szCs w:val="24"/>
    </w:rPr>
  </w:style>
  <w:style w:type="character" w:styleId="941" w:customStyle="1">
    <w:name w:val="Табличный_боковик_11 Знак"/>
    <w:link w:val="940"/>
    <w:rPr>
      <w:sz w:val="22"/>
      <w:szCs w:val="24"/>
    </w:rPr>
  </w:style>
  <w:style w:type="character" w:styleId="942" w:customStyle="1">
    <w:name w:val="button-search"/>
    <w:basedOn w:val="753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://www.torgi.gov.ru" TargetMode="External"/><Relationship Id="rId19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32088D-BDB6-4E7E-BC33-AB06D961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subject/>
  <dc:creator>Admin</dc:creator>
  <cp:keywords/>
  <dc:description/>
  <cp:lastModifiedBy>sasdv</cp:lastModifiedBy>
  <cp:revision>3</cp:revision>
  <dcterms:created xsi:type="dcterms:W3CDTF">2022-04-12T01:18:00Z</dcterms:created>
  <dcterms:modified xsi:type="dcterms:W3CDTF">2026-07-28T09:13:11Z</dcterms:modified>
</cp:coreProperties>
</file>