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</w:t>
      </w:r>
      <w:r>
        <w:rPr>
          <w:b/>
          <w:sz w:val="26"/>
          <w:szCs w:val="26"/>
        </w:rPr>
      </w:r>
    </w:p>
    <w:p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проведении </w:t>
      </w:r>
      <w:r>
        <w:rPr>
          <w:b/>
          <w:sz w:val="26"/>
          <w:szCs w:val="26"/>
        </w:rPr>
        <w:t xml:space="preserve">повторных </w:t>
      </w:r>
      <w:r>
        <w:rPr>
          <w:b/>
          <w:sz w:val="26"/>
          <w:szCs w:val="26"/>
        </w:rPr>
        <w:t xml:space="preserve">публичных торгов в форме аукциона по продаже земельного участка из земель сельскохозяйственного назначения, изъятого по решению суда в связи с неиспользованием по целевому назначению</w:t>
      </w:r>
      <w:r>
        <w:rPr>
          <w:b/>
          <w:sz w:val="26"/>
          <w:szCs w:val="26"/>
        </w:rPr>
      </w:r>
    </w:p>
    <w:p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75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Департамент имущества и земельных отношений Новосибирской области извещает о проведении </w:t>
      </w:r>
      <w:r>
        <w:rPr>
          <w:sz w:val="26"/>
          <w:szCs w:val="26"/>
        </w:rPr>
        <w:t xml:space="preserve">повторных </w:t>
      </w:r>
      <w:r>
        <w:rPr>
          <w:sz w:val="26"/>
          <w:szCs w:val="26"/>
        </w:rPr>
        <w:t xml:space="preserve">публичных торгов в форме аукциона по продаже земельного участка из земель сельскохозяйственного назначения, изъятого по решению суда в связи с неиспользованием по целевому назначению.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731"/>
          <w:sz w:val="26"/>
          <w:szCs w:val="26"/>
        </w:rPr>
        <w:t xml:space="preserve">Организатор торгов:</w:t>
      </w:r>
      <w:r>
        <w:rPr>
          <w:sz w:val="26"/>
          <w:szCs w:val="26"/>
        </w:rPr>
        <w:t xml:space="preserve"> департамент имущества и земельных отношений Новосибирской области, адрес: 630007, г. Новосибирск, Красный проспект, 18. Телефон +7(383) 238-60-02. Email: dgi@nso.ru.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Собственник земельного участка: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Анашин Андрей Александрович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firstLine="709"/>
        <w:jc w:val="both"/>
        <w:rPr>
          <w:rStyle w:val="731"/>
          <w:b w:val="0"/>
          <w:sz w:val="26"/>
          <w:szCs w:val="26"/>
        </w:rPr>
      </w:pPr>
      <w:r>
        <w:rPr>
          <w:rStyle w:val="731"/>
          <w:sz w:val="26"/>
          <w:szCs w:val="26"/>
        </w:rPr>
        <w:t xml:space="preserve">Основание проведения торгов: </w:t>
      </w:r>
      <w:r>
        <w:rPr>
          <w:rStyle w:val="731"/>
          <w:b w:val="0"/>
          <w:sz w:val="26"/>
          <w:szCs w:val="26"/>
        </w:rPr>
        <w:t xml:space="preserve">решение Тогучинского районного суда Новосибирской области от 12.11.2025 по делу № 2-807/2025</w:t>
      </w:r>
      <w:r>
        <w:rPr>
          <w:rStyle w:val="731"/>
          <w:b w:val="0"/>
          <w:sz w:val="26"/>
          <w:szCs w:val="26"/>
        </w:rPr>
        <w:t xml:space="preserve">.</w:t>
      </w:r>
      <w:r>
        <w:rPr>
          <w:rStyle w:val="731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731"/>
          <w:sz w:val="26"/>
          <w:szCs w:val="26"/>
        </w:rPr>
        <w:t xml:space="preserve">Реквизиты решения о проведении торгов:</w:t>
      </w:r>
      <w:r>
        <w:rPr>
          <w:sz w:val="26"/>
          <w:szCs w:val="26"/>
        </w:rPr>
        <w:t xml:space="preserve"> приказ департамента имущества и земельных отношений Новосибирской области </w:t>
      </w:r>
      <w:r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25.06.2026 № 1854</w:t>
      </w:r>
      <w:r>
        <w:rPr>
          <w:sz w:val="26"/>
          <w:szCs w:val="26"/>
        </w:rPr>
        <w:t xml:space="preserve"> «О проведении повторных публичных торгов в форме аукциона по продаже земельного участка с кадастровым номером </w:t>
      </w:r>
      <w:r>
        <w:rPr>
          <w:sz w:val="26"/>
          <w:szCs w:val="26"/>
        </w:rPr>
        <w:t xml:space="preserve">54:24:052708:847</w:t>
      </w:r>
      <w:r>
        <w:rPr>
          <w:sz w:val="26"/>
          <w:szCs w:val="26"/>
        </w:rPr>
        <w:t xml:space="preserve"> из земель сельскохозяйственного назначения, изъятого по решению суда в связи с его неиспользованием по целевому назначению</w:t>
      </w:r>
      <w:r>
        <w:rPr>
          <w:sz w:val="26"/>
          <w:szCs w:val="26"/>
        </w:rPr>
        <w:t xml:space="preserve">».</w:t>
      </w:r>
      <w:r>
        <w:rPr>
          <w:sz w:val="26"/>
          <w:szCs w:val="26"/>
        </w:rPr>
      </w:r>
    </w:p>
    <w:p>
      <w:pPr>
        <w:ind w:firstLine="709"/>
        <w:jc w:val="both"/>
        <w:rPr>
          <w:color w:val="000000"/>
          <w:spacing w:val="2"/>
          <w:sz w:val="26"/>
          <w:szCs w:val="26"/>
        </w:rPr>
      </w:pPr>
      <w:r>
        <w:rPr>
          <w:rStyle w:val="731"/>
          <w:sz w:val="26"/>
          <w:szCs w:val="26"/>
        </w:rPr>
        <w:t xml:space="preserve">Место проведения торгов:</w:t>
      </w:r>
      <w:r>
        <w:rPr>
          <w:sz w:val="26"/>
          <w:szCs w:val="26"/>
        </w:rPr>
        <w:t xml:space="preserve"> </w:t>
      </w:r>
      <w:r>
        <w:rPr>
          <w:color w:val="000000"/>
          <w:spacing w:val="2"/>
          <w:sz w:val="26"/>
          <w:szCs w:val="26"/>
        </w:rPr>
        <w:t xml:space="preserve">город Новосибирск, Красный проспект, дом 18, этаж 1, кабинет № 105.</w:t>
      </w:r>
      <w:r>
        <w:rPr>
          <w:color w:val="000000"/>
          <w:spacing w:val="2"/>
          <w:sz w:val="26"/>
          <w:szCs w:val="26"/>
        </w:rPr>
      </w:r>
    </w:p>
    <w:p>
      <w:pPr>
        <w:ind w:firstLine="709"/>
        <w:jc w:val="both"/>
        <w:rPr>
          <w:color w:val="000000"/>
          <w:spacing w:val="2"/>
          <w:sz w:val="26"/>
          <w:szCs w:val="26"/>
        </w:rPr>
      </w:pPr>
      <w:r>
        <w:rPr>
          <w:b/>
          <w:color w:val="000000"/>
          <w:spacing w:val="2"/>
          <w:sz w:val="26"/>
          <w:szCs w:val="26"/>
        </w:rPr>
        <w:t xml:space="preserve">Форма торгов:</w:t>
      </w:r>
      <w:r>
        <w:rPr>
          <w:color w:val="000000"/>
          <w:spacing w:val="2"/>
          <w:sz w:val="26"/>
          <w:szCs w:val="26"/>
        </w:rPr>
        <w:t xml:space="preserve"> публичные торги проводятся в форме аукциона (далее – аукцион). Аукцион является открытым по форм</w:t>
      </w:r>
      <w:r>
        <w:rPr>
          <w:color w:val="000000"/>
          <w:spacing w:val="2"/>
          <w:sz w:val="26"/>
          <w:szCs w:val="26"/>
        </w:rPr>
        <w:t xml:space="preserve">е подачи предложений о цене и составу участников, с учетом ограничений, изложенных в пункте 5 статьи 449.1 Гражданского кодекса Российской Федерации и статьи 3 Федерального закона от 24.07.2002 № 101-ФЗ «Об обороте земель сельскохозяйственного назначения».</w:t>
      </w:r>
      <w:r>
        <w:rPr>
          <w:color w:val="000000"/>
          <w:spacing w:val="2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Аукцион проводится в соответствии со статьями 447, 448, 449.1 Гражданского кодекса Российской Федерации, статьей 6 Федерального закона от 24.07.2002 № 101-ФЗ «Об обороте земель сельскохозяйственного назначения».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731"/>
          <w:sz w:val="26"/>
          <w:szCs w:val="26"/>
        </w:rPr>
        <w:t xml:space="preserve">Дата проведения торгов: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13 августа</w:t>
      </w:r>
      <w:r>
        <w:rPr>
          <w:sz w:val="26"/>
          <w:szCs w:val="26"/>
        </w:rPr>
        <w:t xml:space="preserve"> 2026</w:t>
      </w:r>
      <w:r>
        <w:rPr>
          <w:sz w:val="26"/>
          <w:szCs w:val="26"/>
        </w:rPr>
        <w:t xml:space="preserve"> года.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Время проведения аукциона:</w:t>
      </w:r>
      <w:r>
        <w:rPr>
          <w:sz w:val="26"/>
          <w:szCs w:val="26"/>
        </w:rPr>
        <w:t xml:space="preserve"> 14:00 по местному времени.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731"/>
          <w:sz w:val="26"/>
          <w:szCs w:val="26"/>
        </w:rPr>
        <w:t xml:space="preserve">Порядок проведения торгов:</w:t>
      </w:r>
      <w:r>
        <w:rPr>
          <w:sz w:val="26"/>
          <w:szCs w:val="26"/>
        </w:rPr>
        <w:t xml:space="preserve"> торги в форме аукциона ведет аукционист. 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Участникам аукциона выдаются пронумерованные билеты. Аукцион начинается с оглашения аукционистом наименования, основных характеристик предмета аукциона, начальной цены предмета аукциона, шага аукциона и порядка проведения а</w:t>
      </w:r>
      <w:r>
        <w:rPr>
          <w:sz w:val="26"/>
          <w:szCs w:val="26"/>
        </w:rPr>
        <w:t xml:space="preserve">укциона. Аукцион проводится путем увеличения начальной цены предмета аукциона на шаг аукциона. Предложение о цене предмета аукциона осуществляется участником аукциона путем поднятия карточки с номером данного участника. Каждое предложение о цене предмета а</w:t>
      </w:r>
      <w:r>
        <w:rPr>
          <w:sz w:val="26"/>
          <w:szCs w:val="26"/>
        </w:rPr>
        <w:t xml:space="preserve">укциона объявляется три раза и сопровождается ударами молотка. После троекратного объявления очередной цены предмета аукциона, при отсутствии участников, готовых заключить договор купли-продажи по объявленной цене, аукцион завершается. По завершению аукцио</w:t>
      </w:r>
      <w:r>
        <w:rPr>
          <w:sz w:val="26"/>
          <w:szCs w:val="26"/>
        </w:rPr>
        <w:t xml:space="preserve">на объявляется цена предмета аукциона и билет победителя аукциона. Победителем аукциона признается участник аукциона, предложивший наибольшую цену за земельный участок. Результаты аукциона оформляются протоколом, который подписывается в день его проведения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731"/>
          <w:sz w:val="26"/>
          <w:szCs w:val="26"/>
        </w:rPr>
        <w:t xml:space="preserve">Предмет торгов:</w:t>
      </w:r>
      <w:r>
        <w:rPr>
          <w:sz w:val="26"/>
          <w:szCs w:val="26"/>
        </w:rPr>
        <w:t xml:space="preserve"> земельный участок.</w:t>
      </w:r>
      <w:r>
        <w:rPr>
          <w:sz w:val="26"/>
          <w:szCs w:val="26"/>
        </w:rPr>
      </w:r>
    </w:p>
    <w:p>
      <w:pPr>
        <w:ind w:firstLine="709"/>
        <w:jc w:val="center"/>
        <w:keepNext/>
        <w:rPr>
          <w:rStyle w:val="731"/>
          <w:sz w:val="26"/>
          <w:szCs w:val="26"/>
        </w:rPr>
      </w:pPr>
      <w:r>
        <w:rPr>
          <w:rStyle w:val="731"/>
          <w:sz w:val="26"/>
          <w:szCs w:val="26"/>
        </w:rPr>
        <w:t xml:space="preserve">Лот № 1</w:t>
      </w:r>
      <w:r>
        <w:rPr>
          <w:rStyle w:val="731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Земельный участок с кадастровым номером </w:t>
      </w:r>
      <w:r>
        <w:rPr>
          <w:sz w:val="26"/>
          <w:szCs w:val="26"/>
        </w:rPr>
        <w:t xml:space="preserve">54:24:052708:847</w:t>
      </w:r>
      <w:r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 xml:space="preserve">830000 кв.м, местоположение: Новосибирская область, Тогучинский район, Заречный сельсовет, категория земель: земли сельскохозяйственного назначения, разрешенное использование: Для использования в качестве сельскохозяйственных угодий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731"/>
          <w:sz w:val="26"/>
          <w:szCs w:val="26"/>
        </w:rPr>
        <w:t xml:space="preserve">Ограничение прав и обременение земельного участка:</w:t>
      </w:r>
      <w:r>
        <w:rPr>
          <w:sz w:val="26"/>
          <w:szCs w:val="26"/>
        </w:rPr>
        <w:t xml:space="preserve"> не зарегистрировано.</w:t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Дополнительные сведения о земельном участке: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Согласно сведениям, содержащимся в Федеральной государственной географической информационной системе «Единая цифровая платформа «Национальная система пространственных данных», земельный участок относится к сельскохозяйственным угодьям.</w:t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Факты нарушения плодородия почв в границах земельного участка с кадастровым номером 54:24:052708:847 не установлены, обследования почв на показатели плодородия не проводились (письмо от 02.02.2025 № 41</w:t>
      </w:r>
      <w:r>
        <w:rPr>
          <w:sz w:val="26"/>
          <w:szCs w:val="26"/>
        </w:rPr>
        <w:t xml:space="preserve"> Новосибирского филиала ФГБУ «РосАгрохимслужба»). В связи с чем, проведение мероприятий, связанных с воспроизводством плодородия земель сельскохозяйственного назначения в границах земельного участка с кадастровым номером 54:24:052708:847, не запланировано.</w:t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разрешенным использованием земельного участка - «Для использования в качестве сельскохозяйственных угодий» участок может использоваться в целях, не связанных со строительством, без права возведения объектов капитального строительства.</w:t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В результате обследования земельного участка установлено: территория не огорожена, объектов недвижимости не обнаружено, возможны подземные коммуникации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731"/>
          <w:sz w:val="26"/>
          <w:szCs w:val="26"/>
        </w:rPr>
      </w:pPr>
      <w:r>
        <w:rPr>
          <w:rStyle w:val="731"/>
          <w:sz w:val="26"/>
          <w:szCs w:val="26"/>
        </w:rPr>
        <w:t xml:space="preserve">Требование к участникам аукциона:</w:t>
      </w:r>
      <w:r>
        <w:rPr>
          <w:rStyle w:val="73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731"/>
          <w:b w:val="0"/>
          <w:sz w:val="26"/>
          <w:szCs w:val="26"/>
        </w:rPr>
      </w:pPr>
      <w:r>
        <w:rPr>
          <w:rStyle w:val="731"/>
          <w:b w:val="0"/>
          <w:sz w:val="26"/>
          <w:szCs w:val="26"/>
        </w:rPr>
        <w:t xml:space="preserve">Для обеспечения доступа к полной информации о проведении аукциона претенденту необходимо пройти процедуру р</w:t>
      </w:r>
      <w:r>
        <w:rPr>
          <w:rStyle w:val="731"/>
          <w:b w:val="0"/>
          <w:sz w:val="26"/>
          <w:szCs w:val="26"/>
        </w:rPr>
        <w:t xml:space="preserve">егистрации на официальном сайте торгов Российской Федерации www.torgi.gov.ru (далее – ГИС Торги). Регистрация в ГИС Торги претендентов на участие в аукционе осуществляется ежедневно, круглосуточно. Регистрация в ГИС Торги осуществляется без взимания платы.</w:t>
      </w:r>
      <w:r>
        <w:rPr>
          <w:rStyle w:val="731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731"/>
          <w:sz w:val="26"/>
          <w:szCs w:val="26"/>
        </w:rPr>
        <w:t xml:space="preserve">Начальная цена предмета аукциона: </w:t>
      </w:r>
      <w:r>
        <w:rPr>
          <w:rStyle w:val="731"/>
          <w:b w:val="0"/>
          <w:sz w:val="26"/>
          <w:szCs w:val="26"/>
        </w:rPr>
        <w:t xml:space="preserve">2 612 496 (два миллиона шестьсот </w:t>
      </w:r>
      <w:r>
        <w:rPr>
          <w:rStyle w:val="731"/>
          <w:b w:val="0"/>
          <w:sz w:val="26"/>
          <w:szCs w:val="26"/>
        </w:rPr>
        <w:t xml:space="preserve">двенадцать</w:t>
      </w:r>
      <w:r>
        <w:rPr>
          <w:rStyle w:val="731"/>
          <w:b w:val="0"/>
          <w:sz w:val="26"/>
          <w:szCs w:val="26"/>
        </w:rPr>
        <w:t xml:space="preserve"> тысяч четыреста девяносто шесть) рублей 17 копеек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Шаг аукциона: </w:t>
      </w:r>
      <w:r>
        <w:rPr>
          <w:sz w:val="26"/>
          <w:szCs w:val="26"/>
        </w:rPr>
        <w:t xml:space="preserve">78 375 (семьдесят восемь тысяч триста семьдесят пять) рублей 00 копеек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731"/>
          <w:sz w:val="26"/>
          <w:szCs w:val="26"/>
        </w:rPr>
      </w:pPr>
      <w:r>
        <w:rPr>
          <w:rStyle w:val="731"/>
          <w:sz w:val="26"/>
          <w:szCs w:val="26"/>
        </w:rPr>
        <w:t xml:space="preserve">Ограничения на участие в аукционе: </w:t>
      </w:r>
      <w:r>
        <w:rPr>
          <w:rStyle w:val="731"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731"/>
          <w:b w:val="0"/>
          <w:sz w:val="26"/>
          <w:szCs w:val="26"/>
        </w:rPr>
      </w:pPr>
      <w:r>
        <w:rPr>
          <w:rStyle w:val="731"/>
          <w:b w:val="0"/>
          <w:sz w:val="26"/>
          <w:szCs w:val="26"/>
        </w:rPr>
        <w:t xml:space="preserve">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</w:t>
      </w:r>
      <w:r>
        <w:rPr>
          <w:rStyle w:val="731"/>
          <w:b w:val="0"/>
          <w:sz w:val="26"/>
          <w:szCs w:val="26"/>
        </w:rPr>
        <w:t xml:space="preserve">тавляет более чем 50 процентов, не могут приобретать в собственность земельные участки из земель сельскохозяйственного назначения (в соответствии со статьей 3 Федерального закона от 24.07.2002 № 101-ФЗ «Об обороте земель сельскохозяйственного назначения»);</w:t>
      </w:r>
      <w:r>
        <w:rPr>
          <w:rStyle w:val="731"/>
          <w:b w:val="0"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731"/>
          <w:b w:val="0"/>
          <w:sz w:val="26"/>
          <w:szCs w:val="26"/>
        </w:rPr>
      </w:pPr>
      <w:r>
        <w:rPr>
          <w:rStyle w:val="731"/>
          <w:b w:val="0"/>
          <w:sz w:val="26"/>
          <w:szCs w:val="26"/>
        </w:rPr>
        <w:t xml:space="preserve">В публичных торгах не могут участвовать должник, организации, на которые возложены оценка и реализация имущества должника, и работники указанных организаций, должностные лица </w:t>
      </w:r>
      <w:r>
        <w:rPr>
          <w:rStyle w:val="731"/>
          <w:b w:val="0"/>
          <w:sz w:val="26"/>
          <w:szCs w:val="26"/>
        </w:rPr>
        <w:t xml:space="preserve">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члены семей соответствующих физических лиц (пункт 5 статьи 449.1 Гражданского кодекса Российской Федерации).</w:t>
      </w:r>
      <w:r>
        <w:rPr>
          <w:rStyle w:val="731"/>
          <w:b w:val="0"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731"/>
          <w:b w:val="0"/>
          <w:sz w:val="26"/>
          <w:szCs w:val="26"/>
        </w:rPr>
      </w:pPr>
      <w:r>
        <w:rPr>
          <w:rStyle w:val="731"/>
          <w:sz w:val="26"/>
          <w:szCs w:val="26"/>
        </w:rPr>
        <w:t xml:space="preserve">Порядок, адрес, дата и время начала и окончания приема заявок на участие в торгах:</w:t>
      </w:r>
      <w:r>
        <w:rPr>
          <w:rStyle w:val="731"/>
          <w:b w:val="0"/>
          <w:sz w:val="26"/>
          <w:szCs w:val="26"/>
        </w:rPr>
        <w:t xml:space="preserve"> </w:t>
      </w:r>
      <w:r>
        <w:rPr>
          <w:rStyle w:val="731"/>
          <w:b w:val="0"/>
          <w:sz w:val="26"/>
          <w:szCs w:val="26"/>
        </w:rPr>
      </w:r>
    </w:p>
    <w:p>
      <w:pPr>
        <w:ind w:firstLine="709"/>
        <w:jc w:val="both"/>
        <w:rPr>
          <w:rStyle w:val="731"/>
          <w:b w:val="0"/>
          <w:sz w:val="26"/>
          <w:szCs w:val="26"/>
        </w:rPr>
      </w:pPr>
      <w:r>
        <w:rPr>
          <w:rStyle w:val="731"/>
          <w:b w:val="0"/>
          <w:sz w:val="26"/>
          <w:szCs w:val="26"/>
        </w:rPr>
        <w:t xml:space="preserve">Один заявитель вправе подать только одну заявку на участие в торгах.</w:t>
      </w:r>
      <w:r>
        <w:rPr>
          <w:rStyle w:val="731"/>
          <w:b w:val="0"/>
          <w:sz w:val="26"/>
          <w:szCs w:val="26"/>
        </w:rPr>
      </w:r>
    </w:p>
    <w:p>
      <w:pPr>
        <w:ind w:firstLine="709"/>
        <w:jc w:val="both"/>
        <w:rPr>
          <w:rStyle w:val="731"/>
          <w:b w:val="0"/>
          <w:sz w:val="26"/>
          <w:szCs w:val="26"/>
        </w:rPr>
      </w:pPr>
      <w:r>
        <w:rPr>
          <w:rStyle w:val="731"/>
          <w:b w:val="0"/>
          <w:sz w:val="26"/>
          <w:szCs w:val="26"/>
        </w:rPr>
        <w:t xml:space="preserve">Форма заявки на участие в торгах приведена в приложении к настоящему извещению.</w:t>
      </w:r>
      <w:r>
        <w:rPr>
          <w:rStyle w:val="731"/>
          <w:b w:val="0"/>
          <w:sz w:val="26"/>
          <w:szCs w:val="26"/>
        </w:rPr>
      </w:r>
    </w:p>
    <w:p>
      <w:pPr>
        <w:ind w:firstLine="709"/>
        <w:jc w:val="both"/>
        <w:rPr>
          <w:rStyle w:val="731"/>
          <w:b w:val="0"/>
          <w:sz w:val="26"/>
          <w:szCs w:val="26"/>
        </w:rPr>
      </w:pPr>
      <w:r>
        <w:rPr>
          <w:rStyle w:val="731"/>
          <w:b w:val="0"/>
          <w:sz w:val="26"/>
          <w:szCs w:val="26"/>
        </w:rPr>
        <w:t xml:space="preserve">Заявки принимаются с </w:t>
      </w:r>
      <w:r>
        <w:rPr>
          <w:rStyle w:val="731"/>
          <w:b w:val="0"/>
          <w:sz w:val="26"/>
          <w:szCs w:val="26"/>
        </w:rPr>
        <w:t xml:space="preserve">13 июля 2026</w:t>
      </w:r>
      <w:r>
        <w:rPr>
          <w:rStyle w:val="731"/>
          <w:b w:val="0"/>
          <w:sz w:val="26"/>
          <w:szCs w:val="26"/>
        </w:rPr>
        <w:t xml:space="preserve"> года по </w:t>
      </w:r>
      <w:r>
        <w:rPr>
          <w:rStyle w:val="731"/>
          <w:b w:val="0"/>
          <w:sz w:val="26"/>
          <w:szCs w:val="26"/>
        </w:rPr>
        <w:t xml:space="preserve">07 августа</w:t>
      </w:r>
      <w:r>
        <w:rPr>
          <w:rStyle w:val="731"/>
          <w:b w:val="0"/>
          <w:sz w:val="26"/>
          <w:szCs w:val="26"/>
        </w:rPr>
        <w:t xml:space="preserve"> 2026</w:t>
      </w:r>
      <w:r>
        <w:rPr>
          <w:rStyle w:val="731"/>
          <w:b w:val="0"/>
          <w:sz w:val="26"/>
          <w:szCs w:val="26"/>
        </w:rPr>
        <w:t xml:space="preserve"> года ежедневно (за исключением выходных дней) с 10-00 до 12-00, с 14-00 до 16-00 (</w:t>
      </w:r>
      <w:r>
        <w:rPr>
          <w:rStyle w:val="731"/>
          <w:b w:val="0"/>
          <w:sz w:val="26"/>
          <w:szCs w:val="26"/>
        </w:rPr>
        <w:t xml:space="preserve">07 августа</w:t>
      </w:r>
      <w:r>
        <w:rPr>
          <w:rStyle w:val="731"/>
          <w:b w:val="0"/>
          <w:sz w:val="26"/>
          <w:szCs w:val="26"/>
        </w:rPr>
        <w:t xml:space="preserve"> 2026</w:t>
      </w:r>
      <w:r>
        <w:rPr>
          <w:rStyle w:val="731"/>
          <w:b w:val="0"/>
          <w:sz w:val="26"/>
          <w:szCs w:val="26"/>
        </w:rPr>
        <w:t xml:space="preserve"> года заявки принимаются с 10-00 до 12-00) </w:t>
      </w:r>
      <w:r>
        <w:rPr>
          <w:rStyle w:val="731"/>
          <w:b w:val="0"/>
          <w:sz w:val="26"/>
          <w:szCs w:val="26"/>
        </w:rPr>
        <w:t xml:space="preserve">по местному времени по адресу: город Новосибирск, улица Сакко и Ванцетти, дом 52, 1 этаж, кабинет 6, контактное лицо: ведущий экономист отдела подготовки и проведения земельных аукционов ГКУ НСО «ФИ НСО» Погодаев Владимир Валерьевич, тел. 8(383) 238-60-74.</w:t>
      </w:r>
      <w:r>
        <w:rPr>
          <w:rStyle w:val="731"/>
          <w:b w:val="0"/>
          <w:sz w:val="26"/>
          <w:szCs w:val="26"/>
        </w:rPr>
      </w:r>
    </w:p>
    <w:p>
      <w:pPr>
        <w:ind w:firstLine="709"/>
        <w:jc w:val="both"/>
        <w:rPr>
          <w:rStyle w:val="731"/>
          <w:b w:val="0"/>
          <w:sz w:val="26"/>
          <w:szCs w:val="26"/>
        </w:rPr>
      </w:pPr>
      <w:r>
        <w:rPr>
          <w:rStyle w:val="731"/>
          <w:b w:val="0"/>
          <w:sz w:val="26"/>
          <w:szCs w:val="26"/>
        </w:rPr>
        <w:t xml:space="preserve">Заявка на участие в торгах, поступившая по истечении срока приема заявок, возвращается заявителю в день ее поступления.</w:t>
      </w:r>
      <w:r>
        <w:rPr>
          <w:rStyle w:val="731"/>
          <w:b w:val="0"/>
          <w:sz w:val="26"/>
          <w:szCs w:val="26"/>
        </w:rPr>
      </w:r>
    </w:p>
    <w:p>
      <w:pPr>
        <w:ind w:firstLine="709"/>
        <w:jc w:val="both"/>
        <w:rPr>
          <w:rStyle w:val="731"/>
          <w:b w:val="0"/>
          <w:sz w:val="26"/>
          <w:szCs w:val="26"/>
        </w:rPr>
      </w:pPr>
      <w:r>
        <w:rPr>
          <w:rStyle w:val="731"/>
          <w:b w:val="0"/>
          <w:sz w:val="26"/>
          <w:szCs w:val="26"/>
        </w:rPr>
        <w:t xml:space="preserve">Заявитель может отозвать заявку не позднее 12 часов 00 минут по местному времени </w:t>
      </w:r>
      <w:r>
        <w:rPr>
          <w:rStyle w:val="731"/>
          <w:b w:val="0"/>
          <w:sz w:val="26"/>
          <w:szCs w:val="26"/>
        </w:rPr>
        <w:t xml:space="preserve">07 августа</w:t>
      </w:r>
      <w:r>
        <w:rPr>
          <w:rStyle w:val="731"/>
          <w:b w:val="0"/>
          <w:sz w:val="26"/>
          <w:szCs w:val="26"/>
        </w:rPr>
        <w:t xml:space="preserve"> 2026</w:t>
      </w:r>
      <w:r>
        <w:rPr>
          <w:rStyle w:val="731"/>
          <w:b w:val="0"/>
          <w:sz w:val="26"/>
          <w:szCs w:val="26"/>
        </w:rPr>
        <w:t xml:space="preserve"> года, уведомив об этом в письменной форме организатора торгов.</w:t>
      </w:r>
      <w:r>
        <w:rPr>
          <w:rStyle w:val="731"/>
          <w:b w:val="0"/>
          <w:sz w:val="26"/>
          <w:szCs w:val="26"/>
        </w:rPr>
      </w:r>
    </w:p>
    <w:p>
      <w:pPr>
        <w:ind w:firstLine="709"/>
        <w:jc w:val="both"/>
        <w:rPr>
          <w:rStyle w:val="731"/>
          <w:b w:val="0"/>
          <w:sz w:val="26"/>
          <w:szCs w:val="26"/>
        </w:rPr>
      </w:pPr>
      <w:r>
        <w:rPr>
          <w:b/>
          <w:bCs/>
          <w:sz w:val="26"/>
          <w:szCs w:val="26"/>
        </w:rPr>
        <w:t xml:space="preserve">Дата, время и</w:t>
      </w:r>
      <w:r>
        <w:rPr>
          <w:rStyle w:val="731"/>
          <w:sz w:val="26"/>
          <w:szCs w:val="26"/>
        </w:rPr>
        <w:t xml:space="preserve"> место определения участников торгов:</w:t>
      </w:r>
      <w:r>
        <w:rPr>
          <w:rStyle w:val="731"/>
          <w:b w:val="0"/>
          <w:sz w:val="26"/>
          <w:szCs w:val="26"/>
        </w:rPr>
        <w:t xml:space="preserve"> </w:t>
      </w:r>
      <w:r>
        <w:rPr>
          <w:sz w:val="26"/>
          <w:szCs w:val="26"/>
        </w:rPr>
        <w:t xml:space="preserve">11 августа</w:t>
      </w:r>
      <w:r>
        <w:rPr>
          <w:sz w:val="26"/>
          <w:szCs w:val="26"/>
        </w:rPr>
        <w:t xml:space="preserve"> 2026</w:t>
      </w:r>
      <w:r>
        <w:rPr>
          <w:sz w:val="26"/>
          <w:szCs w:val="26"/>
        </w:rPr>
        <w:t xml:space="preserve"> года в 14:05 по адресу: город Новосибирск, Красный проспект, дом 18, этаж 1, кабинет № 105.</w:t>
      </w:r>
      <w:r>
        <w:rPr>
          <w:rStyle w:val="731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Организатор торгов рассматривает заявки и устанавливает факт поступления от заявителей задатков. По результатам рассмотрения документов организатор аукциона принимае</w:t>
      </w:r>
      <w:r>
        <w:rPr>
          <w:sz w:val="26"/>
          <w:szCs w:val="26"/>
        </w:rPr>
        <w:t xml:space="preserve">т решение о признании заявителей участниками торгов или об отказе в допуске заявителей к участию в торгах, которое оформляется протоколом. Заявитель приобретает статус участника аукциона с даты подписания организатором торгов протокола рассмотрения заявок.</w:t>
      </w:r>
      <w:r>
        <w:rPr>
          <w:sz w:val="26"/>
          <w:szCs w:val="26"/>
        </w:rPr>
      </w:r>
    </w:p>
    <w:p>
      <w:pPr>
        <w:ind w:firstLine="709"/>
        <w:jc w:val="both"/>
        <w:keepNext/>
        <w:rPr>
          <w:rStyle w:val="731"/>
          <w:b w:val="0"/>
          <w:sz w:val="26"/>
          <w:szCs w:val="26"/>
        </w:rPr>
      </w:pPr>
      <w:r>
        <w:rPr>
          <w:b/>
          <w:sz w:val="26"/>
          <w:szCs w:val="26"/>
        </w:rPr>
        <w:t xml:space="preserve">Дата, время и место проведения торгов: </w:t>
      </w:r>
      <w:r>
        <w:rPr>
          <w:rStyle w:val="731"/>
          <w:b w:val="0"/>
          <w:sz w:val="26"/>
          <w:szCs w:val="26"/>
        </w:rPr>
        <w:t xml:space="preserve">13 августа</w:t>
      </w:r>
      <w:r>
        <w:rPr>
          <w:rStyle w:val="731"/>
          <w:b w:val="0"/>
          <w:sz w:val="26"/>
          <w:szCs w:val="26"/>
        </w:rPr>
        <w:t xml:space="preserve"> 2026</w:t>
      </w:r>
      <w:r>
        <w:rPr>
          <w:rStyle w:val="731"/>
          <w:b w:val="0"/>
          <w:sz w:val="26"/>
          <w:szCs w:val="26"/>
        </w:rPr>
        <w:t xml:space="preserve"> года в 14:00 по адресу: город Новосибирск, Красный проспект, дом 18, этаж 1, кабинет № 105 (начало регистрации участников торгов за 30 минут до начала проведения торгов).</w:t>
      </w:r>
      <w:r>
        <w:rPr>
          <w:rStyle w:val="731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731"/>
          <w:b w:val="0"/>
          <w:sz w:val="26"/>
          <w:szCs w:val="26"/>
        </w:rPr>
      </w:pPr>
      <w:r>
        <w:rPr>
          <w:rStyle w:val="731"/>
          <w:b w:val="0"/>
          <w:sz w:val="26"/>
          <w:szCs w:val="26"/>
        </w:rPr>
        <w:t xml:space="preserve">Дата и место подведения итогов аукциона: </w:t>
      </w:r>
      <w:r>
        <w:rPr>
          <w:rStyle w:val="731"/>
          <w:b w:val="0"/>
          <w:sz w:val="26"/>
          <w:szCs w:val="26"/>
        </w:rPr>
        <w:t xml:space="preserve">13 августа</w:t>
      </w:r>
      <w:r>
        <w:rPr>
          <w:rStyle w:val="731"/>
          <w:b w:val="0"/>
          <w:sz w:val="26"/>
          <w:szCs w:val="26"/>
        </w:rPr>
        <w:t xml:space="preserve"> 2026</w:t>
      </w:r>
      <w:r>
        <w:rPr>
          <w:rStyle w:val="731"/>
          <w:b w:val="0"/>
          <w:sz w:val="26"/>
          <w:szCs w:val="26"/>
        </w:rPr>
        <w:t xml:space="preserve"> года по адресу: город Новосибирск, Красный проспект, дом 18, этаж 1, кабинет № 10</w:t>
      </w:r>
      <w:r>
        <w:rPr>
          <w:color w:val="000000"/>
          <w:spacing w:val="2"/>
          <w:sz w:val="26"/>
          <w:szCs w:val="26"/>
        </w:rPr>
        <w:t xml:space="preserve">5</w:t>
      </w:r>
      <w:r>
        <w:rPr>
          <w:rStyle w:val="731"/>
          <w:b w:val="0"/>
          <w:sz w:val="26"/>
          <w:szCs w:val="26"/>
        </w:rPr>
        <w:t xml:space="preserve">.</w:t>
      </w:r>
      <w:r>
        <w:rPr>
          <w:rStyle w:val="731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731"/>
          <w:sz w:val="26"/>
          <w:szCs w:val="26"/>
        </w:rPr>
        <w:outlineLvl w:val="0"/>
      </w:pPr>
      <w:r>
        <w:rPr>
          <w:rStyle w:val="731"/>
          <w:sz w:val="26"/>
          <w:szCs w:val="26"/>
        </w:rPr>
        <w:t xml:space="preserve">Перечень документов, представляемых для участия в торгах: </w:t>
      </w:r>
      <w:r>
        <w:rPr>
          <w:rStyle w:val="731"/>
          <w:sz w:val="26"/>
          <w:szCs w:val="26"/>
        </w:rPr>
      </w:r>
    </w:p>
    <w:p>
      <w:pPr>
        <w:ind w:firstLine="709"/>
        <w:jc w:val="both"/>
        <w:tabs>
          <w:tab w:val="left" w:pos="0" w:leader="none"/>
        </w:tabs>
        <w:rPr>
          <w:rStyle w:val="731"/>
          <w:b w:val="0"/>
          <w:sz w:val="26"/>
          <w:szCs w:val="26"/>
        </w:rPr>
      </w:pPr>
      <w:r>
        <w:rPr>
          <w:rStyle w:val="731"/>
          <w:b w:val="0"/>
          <w:sz w:val="26"/>
          <w:szCs w:val="26"/>
        </w:rPr>
        <w:t xml:space="preserve">заявка на участие в тогах по установленной в извещении о проведении торгов форме с указанием банковских реквизитов счета для возврата задатка;</w:t>
      </w:r>
      <w:r>
        <w:rPr>
          <w:rStyle w:val="731"/>
          <w:b w:val="0"/>
          <w:sz w:val="26"/>
          <w:szCs w:val="26"/>
        </w:rPr>
      </w:r>
    </w:p>
    <w:p>
      <w:pPr>
        <w:ind w:firstLine="709"/>
        <w:jc w:val="both"/>
        <w:tabs>
          <w:tab w:val="left" w:pos="0" w:leader="none"/>
        </w:tabs>
        <w:rPr>
          <w:rStyle w:val="731"/>
          <w:sz w:val="26"/>
          <w:szCs w:val="26"/>
        </w:rPr>
      </w:pPr>
      <w:r>
        <w:rPr>
          <w:rStyle w:val="731"/>
          <w:b w:val="0"/>
          <w:sz w:val="26"/>
          <w:szCs w:val="26"/>
        </w:rPr>
        <w:t xml:space="preserve">копии документов, удостоверяющих личность заявителя (для граждан);</w:t>
      </w:r>
      <w:r>
        <w:rPr>
          <w:rStyle w:val="731"/>
          <w:sz w:val="26"/>
          <w:szCs w:val="26"/>
        </w:rPr>
      </w:r>
    </w:p>
    <w:p>
      <w:pPr>
        <w:ind w:firstLine="709"/>
        <w:jc w:val="both"/>
        <w:tabs>
          <w:tab w:val="left" w:pos="0" w:leader="none"/>
        </w:tabs>
        <w:rPr>
          <w:rStyle w:val="731"/>
          <w:b w:val="0"/>
          <w:sz w:val="26"/>
          <w:szCs w:val="26"/>
        </w:rPr>
      </w:pPr>
      <w:r>
        <w:rPr>
          <w:rStyle w:val="731"/>
          <w:b w:val="0"/>
          <w:sz w:val="26"/>
          <w:szCs w:val="26"/>
        </w:rPr>
        <w:t xml:space="preserve">документы, подтверждающие внесение задатка.</w:t>
      </w:r>
      <w:r>
        <w:rPr>
          <w:rStyle w:val="731"/>
          <w:b w:val="0"/>
          <w:sz w:val="26"/>
          <w:szCs w:val="26"/>
        </w:rPr>
      </w:r>
    </w:p>
    <w:p>
      <w:pPr>
        <w:ind w:firstLine="709"/>
        <w:jc w:val="both"/>
        <w:tabs>
          <w:tab w:val="left" w:pos="0" w:leader="none"/>
        </w:tabs>
        <w:rPr>
          <w:rStyle w:val="731"/>
          <w:b w:val="0"/>
          <w:sz w:val="26"/>
          <w:szCs w:val="26"/>
        </w:rPr>
      </w:pPr>
      <w:r>
        <w:rPr>
          <w:rStyle w:val="731"/>
          <w:b w:val="0"/>
          <w:sz w:val="26"/>
          <w:szCs w:val="26"/>
        </w:rPr>
        <w:t xml:space="preserve">В случае участия в торгах представителя заявителя предъявляется документ, подтверждающий полномочия данного представителя.</w:t>
      </w:r>
      <w:r>
        <w:rPr>
          <w:rStyle w:val="731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731"/>
          <w:b w:val="0"/>
          <w:sz w:val="26"/>
          <w:szCs w:val="26"/>
        </w:rPr>
      </w:pPr>
      <w:r>
        <w:rPr>
          <w:rStyle w:val="731"/>
          <w:sz w:val="26"/>
          <w:szCs w:val="26"/>
        </w:rPr>
        <w:t xml:space="preserve">Размер задатка: </w:t>
      </w:r>
      <w:r>
        <w:rPr>
          <w:rStyle w:val="731"/>
          <w:b w:val="0"/>
          <w:sz w:val="26"/>
          <w:szCs w:val="26"/>
        </w:rPr>
        <w:t xml:space="preserve">261 250 (двести шестьдесят одна тысяча двести пятьдесят) рублей 00 копеек</w:t>
      </w:r>
      <w:r>
        <w:rPr>
          <w:rStyle w:val="731"/>
          <w:b w:val="0"/>
          <w:sz w:val="26"/>
          <w:szCs w:val="26"/>
        </w:rPr>
        <w:t xml:space="preserve">.</w:t>
      </w:r>
      <w:r>
        <w:rPr>
          <w:rStyle w:val="731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Порядок внесения задатка участниками аукциона и его возврат:</w:t>
      </w:r>
      <w:r>
        <w:rPr>
          <w:b/>
          <w:bCs/>
          <w:sz w:val="26"/>
          <w:szCs w:val="26"/>
        </w:rPr>
      </w:r>
    </w:p>
    <w:p>
      <w:pPr>
        <w:ind w:firstLine="709"/>
        <w:jc w:val="both"/>
        <w:rPr>
          <w:rStyle w:val="731"/>
          <w:b w:val="0"/>
          <w:sz w:val="26"/>
          <w:szCs w:val="26"/>
        </w:rPr>
        <w:outlineLvl w:val="0"/>
      </w:pPr>
      <w:r>
        <w:rPr>
          <w:rStyle w:val="731"/>
          <w:b w:val="0"/>
          <w:sz w:val="26"/>
          <w:szCs w:val="26"/>
        </w:rPr>
        <w:t xml:space="preserve">Задаток вносится на расчетный счет организатора торгов. </w:t>
      </w:r>
      <w:r>
        <w:rPr>
          <w:rStyle w:val="731"/>
          <w:b w:val="0"/>
          <w:sz w:val="26"/>
          <w:szCs w:val="26"/>
        </w:rPr>
      </w:r>
    </w:p>
    <w:p>
      <w:pPr>
        <w:ind w:firstLine="709"/>
        <w:jc w:val="both"/>
        <w:rPr>
          <w:rStyle w:val="731"/>
          <w:b w:val="0"/>
          <w:sz w:val="26"/>
          <w:szCs w:val="26"/>
        </w:rPr>
        <w:outlineLvl w:val="0"/>
      </w:pPr>
      <w:r>
        <w:rPr>
          <w:rStyle w:val="731"/>
          <w:b w:val="0"/>
          <w:sz w:val="26"/>
          <w:szCs w:val="26"/>
        </w:rPr>
        <w:t xml:space="preserve">Департамент имущества и земельных отношений Новосибирской области (л/с 190010013). Получатель: МФиНП НСО (ДИиЗО НСО, л/с190010013), ИНН 5406214965 / КПП 540601001, </w:t>
      </w:r>
      <w:r>
        <w:rPr>
          <w:rStyle w:val="731"/>
          <w:b w:val="0"/>
          <w:sz w:val="26"/>
          <w:szCs w:val="26"/>
        </w:rPr>
        <w:t xml:space="preserve">ОКЦ №1 Сибирское ГУ Банка России </w:t>
      </w:r>
      <w:r>
        <w:rPr>
          <w:rStyle w:val="731"/>
          <w:b w:val="0"/>
          <w:sz w:val="26"/>
          <w:szCs w:val="26"/>
        </w:rPr>
        <w:t xml:space="preserve">//УФК по Новосибирской области г.Новосибирск, БИК 015004950, р/с 40102810445370000043, л/с 03222643500000005100, ОКТМО 50701000, КБК 00000000000000000510.</w:t>
      </w:r>
      <w:r>
        <w:rPr>
          <w:rStyle w:val="731"/>
          <w:b w:val="0"/>
          <w:sz w:val="26"/>
          <w:szCs w:val="26"/>
        </w:rPr>
      </w:r>
    </w:p>
    <w:p>
      <w:pPr>
        <w:ind w:firstLine="709"/>
        <w:jc w:val="both"/>
        <w:rPr>
          <w:rStyle w:val="731"/>
          <w:b w:val="0"/>
          <w:sz w:val="26"/>
          <w:szCs w:val="26"/>
        </w:rPr>
        <w:outlineLvl w:val="0"/>
      </w:pPr>
      <w:r>
        <w:rPr>
          <w:rStyle w:val="731"/>
          <w:b w:val="0"/>
          <w:sz w:val="26"/>
          <w:szCs w:val="26"/>
        </w:rPr>
        <w:t xml:space="preserve">Назначение платежа: задаток для участия в торгах ДИиЗО НСО, земельный участок с кадастровым номером </w:t>
      </w:r>
      <w:r>
        <w:rPr>
          <w:rStyle w:val="731"/>
          <w:b w:val="0"/>
          <w:sz w:val="26"/>
          <w:szCs w:val="26"/>
        </w:rPr>
        <w:t xml:space="preserve">54:24:052708:847</w:t>
      </w:r>
      <w:r>
        <w:rPr>
          <w:rStyle w:val="731"/>
          <w:b w:val="0"/>
          <w:sz w:val="26"/>
          <w:szCs w:val="26"/>
        </w:rPr>
        <w:t xml:space="preserve">.</w:t>
      </w:r>
      <w:r>
        <w:rPr>
          <w:rStyle w:val="731"/>
          <w:b w:val="0"/>
          <w:sz w:val="26"/>
          <w:szCs w:val="26"/>
        </w:rPr>
      </w:r>
    </w:p>
    <w:p>
      <w:pPr>
        <w:ind w:firstLine="709"/>
        <w:jc w:val="both"/>
        <w:rPr>
          <w:rStyle w:val="731"/>
          <w:b w:val="0"/>
          <w:sz w:val="26"/>
          <w:szCs w:val="26"/>
        </w:rPr>
        <w:outlineLvl w:val="0"/>
      </w:pPr>
      <w:r>
        <w:rPr>
          <w:rStyle w:val="731"/>
          <w:b w:val="0"/>
          <w:sz w:val="26"/>
          <w:szCs w:val="26"/>
        </w:rPr>
        <w:t xml:space="preserve">Представление документов, подтверждающих внесение задатка, признается заключением соглашения о задатке, включающего сроки и порядок возврата задатка.</w:t>
      </w:r>
      <w:r>
        <w:rPr>
          <w:rStyle w:val="731"/>
          <w:b w:val="0"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Возврат задатка производится организатором торгов по реквизитам, указанным в заявке на участие в торгах, в следующих случаях: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заявитель отозвал заявку на участие в торгах до дня </w:t>
      </w:r>
      <w:r>
        <w:rPr>
          <w:bCs/>
          <w:sz w:val="26"/>
          <w:szCs w:val="26"/>
        </w:rPr>
        <w:t xml:space="preserve">окончания срока приема заявок,</w:t>
      </w:r>
      <w:r>
        <w:rPr>
          <w:bCs/>
          <w:sz w:val="26"/>
          <w:szCs w:val="26"/>
        </w:rPr>
        <w:t xml:space="preserve"> в течение трех рабочих дней со дня поступления уведомления об отзыве заявки. В случае отзыва заявки заявителем позднее дня</w:t>
      </w:r>
      <w:r>
        <w:rPr>
          <w:bCs/>
          <w:sz w:val="26"/>
          <w:szCs w:val="26"/>
        </w:rPr>
        <w:t xml:space="preserve"> окончания срока приема заявок</w:t>
      </w:r>
      <w:r>
        <w:rPr>
          <w:bCs/>
          <w:sz w:val="26"/>
          <w:szCs w:val="26"/>
        </w:rPr>
        <w:t xml:space="preserve"> в порядке, установленном для участников торгов;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заявитель не допущен к участию в торгах, – в течение трех рабочих дней со дня оформления протокола приема заявок на участие в торгах;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участник не признан победителем торгов, – в течение трех рабочих дней со дня подписания протокола о результатах торг</w:t>
      </w:r>
      <w:r>
        <w:rPr>
          <w:bCs/>
          <w:sz w:val="26"/>
          <w:szCs w:val="26"/>
        </w:rPr>
        <w:t xml:space="preserve">ов, за исключением участника торгов, который сделал предпоследнее предложение о цене предмета торгов. Задаток, внесенный таким участником, возвращается ему в течение трех дней со дня подписания договора купли-продажи земельного участка победителем торгов; 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организатором торгов принято решение </w:t>
      </w:r>
      <w:r>
        <w:rPr>
          <w:bCs/>
          <w:sz w:val="26"/>
          <w:szCs w:val="26"/>
        </w:rPr>
        <w:t xml:space="preserve">об отказе в проведении торгов,</w:t>
      </w:r>
      <w:r>
        <w:rPr>
          <w:bCs/>
          <w:sz w:val="26"/>
          <w:szCs w:val="26"/>
        </w:rPr>
        <w:t xml:space="preserve"> в течение трех дней со дня принятия решения об отказе в проведении торгов.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Задаток не возвращается в случае уклонения от заключения договора купли-продажи земельного участка: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единственному заявителю, признанному участником аукциона;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единственному принявшему участие в торгах участнику; 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участнику, признанному победителем торгов;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участнику аукциона, который сделал предпоследнее предложение о цене предмета аукциона, если договор аренды земельного участка в течение десяти рабочих дней со дня направления победителю аукциона не были им подписан и представлен в уполномоченный орган.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rStyle w:val="731"/>
          <w:b w:val="0"/>
          <w:sz w:val="26"/>
          <w:szCs w:val="26"/>
        </w:rPr>
        <w:t xml:space="preserve">Задаток засчитывается в счет платы за земельный участок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731"/>
          <w:sz w:val="26"/>
          <w:szCs w:val="26"/>
        </w:rPr>
      </w:pPr>
      <w:r>
        <w:rPr>
          <w:rStyle w:val="731"/>
          <w:sz w:val="26"/>
          <w:szCs w:val="26"/>
        </w:rPr>
        <w:t xml:space="preserve">Отказ от проведения торгов:</w:t>
      </w:r>
      <w:r>
        <w:rPr>
          <w:rStyle w:val="731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731"/>
          <w:b w:val="0"/>
          <w:sz w:val="26"/>
          <w:szCs w:val="26"/>
        </w:rPr>
      </w:pPr>
      <w:r>
        <w:rPr>
          <w:rStyle w:val="731"/>
          <w:b w:val="0"/>
          <w:sz w:val="26"/>
          <w:szCs w:val="26"/>
        </w:rPr>
        <w:t xml:space="preserve">Организатор публичных торгов, опубликовавший извещение, вправе отказаться от проведения аукциона в любое время, но не позднее чем за три дня до наступления даты его проведения.</w:t>
      </w:r>
      <w:r>
        <w:rPr>
          <w:rStyle w:val="731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731"/>
          <w:sz w:val="26"/>
          <w:szCs w:val="26"/>
        </w:rPr>
      </w:pPr>
      <w:r>
        <w:rPr>
          <w:rStyle w:val="731"/>
          <w:sz w:val="26"/>
          <w:szCs w:val="26"/>
        </w:rPr>
        <w:t xml:space="preserve">Сведения</w:t>
      </w:r>
      <w:r>
        <w:rPr>
          <w:sz w:val="26"/>
          <w:szCs w:val="26"/>
        </w:rPr>
        <w:t xml:space="preserve"> </w:t>
      </w:r>
      <w:r>
        <w:rPr>
          <w:rStyle w:val="731"/>
          <w:sz w:val="26"/>
          <w:szCs w:val="26"/>
        </w:rPr>
        <w:t xml:space="preserve">о существенных условиях договора ку</w:t>
      </w:r>
      <w:r>
        <w:rPr>
          <w:rStyle w:val="731"/>
          <w:sz w:val="26"/>
          <w:szCs w:val="26"/>
        </w:rPr>
        <w:t xml:space="preserve">пли-продажи земельного участка:</w:t>
      </w:r>
      <w:r>
        <w:rPr>
          <w:rStyle w:val="731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 xml:space="preserve">цена земельного участка устанавливается по итогам торгов;</w:t>
      </w:r>
      <w:r>
        <w:rPr>
          <w:b/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цена земельного участка за минусом задатка оплачивается в течение 7 (семи) календарных дней с момента заключения договора купли-продажи.</w:t>
      </w:r>
      <w:r>
        <w:rPr>
          <w:bCs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Порядок заключения договора купли-продажи земельного участка:</w:t>
      </w:r>
      <w:r>
        <w:rPr>
          <w:b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аукциона не допускается за</w:t>
      </w:r>
      <w:r>
        <w:rPr>
          <w:sz w:val="26"/>
          <w:szCs w:val="26"/>
        </w:rPr>
        <w:t xml:space="preserve">ключение договора купли-продажи земельного участка, ранее чем через десять дней со дня размещения протокола рассмотрения заявок на участие в аукционе в случае, если аукцион признан несостоявшимся, либо протокола о результатах аукциона на официальном сайте.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Уполномоченный орган направляет победителю аукциона или единственному принявшему участие в аукционе его участнику два экземпляр</w:t>
      </w:r>
      <w:r>
        <w:rPr>
          <w:sz w:val="26"/>
          <w:szCs w:val="26"/>
        </w:rPr>
        <w:t xml:space="preserve">а подписанного проекта договора купли-продажи земельного участка в пятидневный срок со дня составления протокола о результатах аукциона. При этом договор купли-продажи земельного участка заключается по цене, предложенной победителем аукциона, или в случае </w:t>
      </w:r>
      <w:r>
        <w:rPr>
          <w:sz w:val="26"/>
          <w:szCs w:val="26"/>
        </w:rPr>
        <w:t xml:space="preserve">заключения указанного договора с единственным принявшим участие в аукционе его участником по начальной цене предмета аукциона.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В случае, если аукцион признан несостоявшимся и только один заявитель признан участником аукциона, уполномоченный орган в течение десяти дней со дня подпис</w:t>
      </w:r>
      <w:r>
        <w:rPr>
          <w:sz w:val="26"/>
          <w:szCs w:val="26"/>
        </w:rPr>
        <w:t xml:space="preserve">ания протокола рассмотрения заявок на участии в аукционе, направляет заявителю два экземпляра подписанного проекта договора купли-продажи земельного участка. При этом договор купли-продажи земельного участка заключается по начальной цене предмета аукциона.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Организатор аукциона вправе объявить о проведении повторного аукциона в</w:t>
      </w:r>
      <w:r>
        <w:rPr>
          <w:sz w:val="26"/>
          <w:szCs w:val="26"/>
        </w:rPr>
        <w:t xml:space="preserve">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десяти рабочих дней со</w:t>
      </w:r>
      <w:r>
        <w:rPr>
          <w:sz w:val="26"/>
          <w:szCs w:val="26"/>
        </w:rPr>
        <w:t xml:space="preserve"> дня направления им проекта договора купли-продажи или проекта договора аренды земельного участка не подписали и не представили в уполномоченный орган указанные договоры (при наличии указанных лиц). При этом условия повторного аукциона могут быть изменены.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Если договор купли-продажи земельного участка в течение десяти рабочих дней со дня направления победителю аукциона проектов указанных договоров не были </w:t>
      </w:r>
      <w:r>
        <w:rPr>
          <w:sz w:val="26"/>
          <w:szCs w:val="26"/>
        </w:rPr>
        <w:t xml:space="preserve">им подписаны и представлены в уполномоченный орган, уполномоченный орган направляет указанные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земельного участка этот участник не представил</w:t>
      </w:r>
      <w:r>
        <w:rPr>
          <w:sz w:val="26"/>
          <w:szCs w:val="26"/>
        </w:rPr>
        <w:t xml:space="preserve"> в уполномоченный орган подписанные им договоры, уполномоченный орган обязан объявить о проведении повторных публичных торгов в форме аукциона в соответствии с Федеральным законом от 24.07.2002 № 101-ФЗ «Об обороте земель сельскохозяйственного назначения».</w:t>
      </w:r>
      <w:r>
        <w:rPr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 неуплаты победителем аукциона или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единственным заявителем признанным участником аукциона покупной цены в установленный срок договор с ним считается незаключенным, а аукцион признается несостоявшимся. Организатор аукциона также вправе требовать возмещения причиненных ему убытков.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sz w:val="26"/>
          <w:szCs w:val="26"/>
        </w:rPr>
        <w:t xml:space="preserve">Осмотр земельного участка </w:t>
      </w:r>
      <w:r>
        <w:rPr>
          <w:bCs/>
          <w:sz w:val="26"/>
          <w:szCs w:val="26"/>
        </w:rPr>
        <w:t xml:space="preserve">заявителями осуществляется самостоятельно (п. 7 ст. 449.1 ГК РФ).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Информация об аукционе размещается </w:t>
      </w:r>
      <w:r>
        <w:rPr>
          <w:sz w:val="26"/>
          <w:szCs w:val="26"/>
        </w:rPr>
        <w:t xml:space="preserve">на официальном сайте торгов Российской Федерации </w:t>
      </w:r>
      <w:hyperlink r:id="rId13" w:tooltip="http://www.torgi.gov.ru/" w:history="1">
        <w:r>
          <w:rPr>
            <w:color w:val="000080"/>
            <w:sz w:val="26"/>
            <w:szCs w:val="26"/>
            <w:u w:val="single"/>
            <w:lang w:val="en-US"/>
          </w:rPr>
          <w:t xml:space="preserve">www</w:t>
        </w:r>
        <w:r>
          <w:rPr>
            <w:color w:val="000080"/>
            <w:sz w:val="26"/>
            <w:szCs w:val="26"/>
            <w:u w:val="single"/>
          </w:rPr>
          <w:t xml:space="preserve">.</w:t>
        </w:r>
        <w:r>
          <w:rPr>
            <w:color w:val="000080"/>
            <w:sz w:val="26"/>
            <w:szCs w:val="26"/>
            <w:u w:val="single"/>
            <w:lang w:val="en-US"/>
          </w:rPr>
          <w:t xml:space="preserve">torgi</w:t>
        </w:r>
        <w:r>
          <w:rPr>
            <w:color w:val="000080"/>
            <w:sz w:val="26"/>
            <w:szCs w:val="26"/>
            <w:u w:val="single"/>
          </w:rPr>
          <w:t xml:space="preserve">.</w:t>
        </w:r>
        <w:r>
          <w:rPr>
            <w:color w:val="000080"/>
            <w:sz w:val="26"/>
            <w:szCs w:val="26"/>
            <w:u w:val="single"/>
            <w:lang w:val="en-US"/>
          </w:rPr>
          <w:t xml:space="preserve">gov</w:t>
        </w:r>
        <w:r>
          <w:rPr>
            <w:color w:val="000080"/>
            <w:sz w:val="26"/>
            <w:szCs w:val="26"/>
            <w:u w:val="single"/>
          </w:rPr>
          <w:t xml:space="preserve">.</w:t>
        </w:r>
        <w:r>
          <w:rPr>
            <w:color w:val="000080"/>
            <w:sz w:val="26"/>
            <w:szCs w:val="26"/>
            <w:u w:val="single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и на официальном сайте департамента имущества и земельных отношений Новосибирской области </w:t>
      </w:r>
      <w:hyperlink r:id="rId14" w:tooltip="http://www.dizo.nso.ru/" w:history="1">
        <w:r>
          <w:rPr>
            <w:color w:val="000080"/>
            <w:sz w:val="26"/>
            <w:szCs w:val="26"/>
            <w:u w:val="single"/>
          </w:rPr>
          <w:t xml:space="preserve">www.dizo.nso.ru</w:t>
        </w:r>
      </w:hyperlink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Особые условия: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Средства, вырученные от продажи земельного участка из земель сельскохозяйственного назначения с публичных торгов либо приобретения такого земельного участка в государственную или муниципа</w:t>
      </w:r>
      <w:r>
        <w:rPr>
          <w:sz w:val="26"/>
          <w:szCs w:val="26"/>
        </w:rPr>
        <w:t xml:space="preserve">льную собственность, выплачиваются бывшему собственнику земельного участка за вычетом расходов на подготовку и проведение публичных торгов, в том числе работ по оценке рыночной стоимости такого земельного участка и обследования его в соответствии          </w:t>
      </w:r>
      <w:r>
        <w:rPr>
          <w:sz w:val="26"/>
          <w:szCs w:val="26"/>
        </w:rPr>
        <w:t xml:space="preserve">                      с Федеральным законом от 16.07.1998 №101-ФЗ «О государственном регулировании обеспечения плодородия земель сельскохозяйственного назначения» (пункт 14 статьи 6 Федерального закона «Об обороте земель сельскохозяйственного назначения»).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Приложением к настоящему извещению является: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Форма заявки на участие в торгах.</w:t>
      </w:r>
      <w:r>
        <w:rPr>
          <w:sz w:val="26"/>
          <w:szCs w:val="26"/>
        </w:rPr>
      </w:r>
    </w:p>
    <w:p>
      <w:pPr>
        <w:ind w:firstLine="709"/>
        <w:jc w:val="both"/>
        <w:rPr>
          <w:rStyle w:val="731"/>
          <w:b w:val="0"/>
          <w:bCs w:val="0"/>
          <w:sz w:val="26"/>
          <w:szCs w:val="26"/>
        </w:rPr>
      </w:pPr>
      <w:r>
        <w:rPr>
          <w:sz w:val="26"/>
          <w:szCs w:val="26"/>
        </w:rPr>
        <w:t xml:space="preserve">2. Проект</w:t>
      </w:r>
      <w:r>
        <w:rPr>
          <w:sz w:val="26"/>
          <w:szCs w:val="26"/>
        </w:rPr>
        <w:t xml:space="preserve"> договора купли-продажи земельного участка.</w:t>
      </w:r>
      <w:r>
        <w:rPr>
          <w:rStyle w:val="731"/>
          <w:b w:val="0"/>
          <w:bCs w:val="0"/>
          <w:sz w:val="26"/>
          <w:szCs w:val="26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851" w:right="851" w:bottom="851" w:left="1418" w:header="567" w:footer="284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Droid Sans">
    <w:panose1 w:val="020B0706030804020204"/>
  </w:font>
  <w:font w:name="Wingdings">
    <w:panose1 w:val="05000000000000000000"/>
  </w:font>
  <w:font w:name="Liberation Sans">
    <w:panose1 w:val="020B06040202020202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0"/>
      <w:jc w:val="right"/>
    </w:pPr>
    <w:r>
      <w:fldChar w:fldCharType="begin"/>
    </w:r>
    <w:r>
      <w:instrText xml:space="preserve"> PAGE </w:instrText>
    </w:r>
    <w:r>
      <w:fldChar w:fldCharType="separate"/>
    </w:r>
    <w:r>
      <w:t xml:space="preserve">4</w:t>
    </w:r>
    <w:r>
      <w:fldChar w:fldCharType="end"/>
    </w:r>
    <w:r/>
  </w:p>
  <w:p>
    <w:pPr>
      <w:pStyle w:val="750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0"/>
      <w:ind w:right="3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750"/>
                            <w:rPr>
                              <w:rStyle w:val="732"/>
                            </w:rPr>
                          </w:pPr>
                          <w:r>
                            <w:rPr>
                              <w:rStyle w:val="732"/>
                            </w:rPr>
                            <w:fldChar w:fldCharType="begin"/>
                          </w:r>
                          <w:r>
                            <w:rPr>
                              <w:rStyle w:val="732"/>
                            </w:rPr>
                            <w:instrText xml:space="preserve"> PAGE </w:instrText>
                          </w:r>
                          <w:r>
                            <w:rPr>
                              <w:rStyle w:val="732"/>
                            </w:rPr>
                            <w:fldChar w:fldCharType="separate"/>
                          </w:r>
                          <w:r>
                            <w:rPr>
                              <w:rStyle w:val="732"/>
                            </w:rPr>
                            <w:t xml:space="preserve">0</w:t>
                          </w:r>
                          <w:r>
                            <w:rPr>
                              <w:rStyle w:val="732"/>
                            </w:rPr>
                            <w:fldChar w:fldCharType="end"/>
                          </w:r>
                          <w:r>
                            <w:rPr>
                              <w:rStyle w:val="732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8240;o:allowoverlap:true;o:allowincell:tru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750"/>
                      <w:rPr>
                        <w:rStyle w:val="732"/>
                      </w:rPr>
                    </w:pPr>
                    <w:r>
                      <w:rPr>
                        <w:rStyle w:val="732"/>
                      </w:rPr>
                      <w:fldChar w:fldCharType="begin"/>
                    </w:r>
                    <w:r>
                      <w:rPr>
                        <w:rStyle w:val="732"/>
                      </w:rPr>
                      <w:instrText xml:space="preserve"> PAGE </w:instrText>
                    </w:r>
                    <w:r>
                      <w:rPr>
                        <w:rStyle w:val="732"/>
                      </w:rPr>
                      <w:fldChar w:fldCharType="separate"/>
                    </w:r>
                    <w:r>
                      <w:rPr>
                        <w:rStyle w:val="732"/>
                      </w:rPr>
                      <w:t xml:space="preserve">0</w:t>
                    </w:r>
                    <w:r>
                      <w:rPr>
                        <w:rStyle w:val="732"/>
                      </w:rPr>
                      <w:fldChar w:fldCharType="end"/>
                    </w:r>
                    <w:r>
                      <w:rPr>
                        <w:rStyle w:val="732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1" w:hanging="360"/>
        <w:tabs>
          <w:tab w:val="num" w:pos="1211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 w:cs="Wingdings"/>
      </w:rPr>
    </w:lvl>
  </w:abstractNum>
  <w:abstractNum w:abstractNumId="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27"/>
    <w:next w:val="72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2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27"/>
    <w:next w:val="72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2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27"/>
    <w:next w:val="72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2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27"/>
    <w:next w:val="72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2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27"/>
    <w:next w:val="72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2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27"/>
    <w:next w:val="72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2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27"/>
    <w:next w:val="72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2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27"/>
    <w:next w:val="72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2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27"/>
    <w:next w:val="72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2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28"/>
    <w:link w:val="743"/>
    <w:uiPriority w:val="10"/>
    <w:rPr>
      <w:sz w:val="48"/>
      <w:szCs w:val="48"/>
    </w:rPr>
  </w:style>
  <w:style w:type="paragraph" w:styleId="36">
    <w:name w:val="Subtitle"/>
    <w:basedOn w:val="727"/>
    <w:next w:val="72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28"/>
    <w:link w:val="36"/>
    <w:uiPriority w:val="11"/>
    <w:rPr>
      <w:sz w:val="24"/>
      <w:szCs w:val="24"/>
    </w:rPr>
  </w:style>
  <w:style w:type="paragraph" w:styleId="38">
    <w:name w:val="Quote"/>
    <w:basedOn w:val="727"/>
    <w:next w:val="72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27"/>
    <w:next w:val="72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28"/>
    <w:link w:val="754"/>
    <w:uiPriority w:val="99"/>
  </w:style>
  <w:style w:type="character" w:styleId="45">
    <w:name w:val="Footer Char"/>
    <w:basedOn w:val="728"/>
    <w:link w:val="750"/>
    <w:uiPriority w:val="99"/>
  </w:style>
  <w:style w:type="character" w:styleId="47">
    <w:name w:val="Caption Char"/>
    <w:basedOn w:val="728"/>
    <w:link w:val="7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2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28"/>
    <w:uiPriority w:val="99"/>
    <w:unhideWhenUsed/>
    <w:rPr>
      <w:vertAlign w:val="superscript"/>
    </w:rPr>
  </w:style>
  <w:style w:type="paragraph" w:styleId="178">
    <w:name w:val="endnote text"/>
    <w:basedOn w:val="72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28"/>
    <w:uiPriority w:val="99"/>
    <w:semiHidden/>
    <w:unhideWhenUsed/>
    <w:rPr>
      <w:vertAlign w:val="superscript"/>
    </w:rPr>
  </w:style>
  <w:style w:type="paragraph" w:styleId="181">
    <w:name w:val="toc 1"/>
    <w:basedOn w:val="727"/>
    <w:next w:val="72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27"/>
    <w:next w:val="72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27"/>
    <w:next w:val="72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27"/>
    <w:next w:val="72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27"/>
    <w:next w:val="72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27"/>
    <w:next w:val="72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27"/>
    <w:next w:val="72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27"/>
    <w:next w:val="72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27"/>
    <w:next w:val="72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27"/>
    <w:next w:val="727"/>
    <w:uiPriority w:val="99"/>
    <w:unhideWhenUsed/>
    <w:pPr>
      <w:spacing w:after="0" w:afterAutospacing="0"/>
    </w:pPr>
  </w:style>
  <w:style w:type="paragraph" w:styleId="727" w:default="1">
    <w:name w:val="Normal"/>
    <w:qFormat/>
    <w:rPr>
      <w:sz w:val="24"/>
      <w:szCs w:val="24"/>
    </w:rPr>
  </w:style>
  <w:style w:type="character" w:styleId="728" w:default="1">
    <w:name w:val="Default Paragraph Font"/>
    <w:uiPriority w:val="1"/>
    <w:unhideWhenUsed/>
  </w:style>
  <w:style w:type="table" w:styleId="7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0" w:default="1">
    <w:name w:val="No List"/>
    <w:uiPriority w:val="99"/>
    <w:semiHidden/>
    <w:unhideWhenUsed/>
  </w:style>
  <w:style w:type="character" w:styleId="731">
    <w:name w:val="Strong"/>
    <w:qFormat/>
    <w:rPr>
      <w:b/>
      <w:bCs/>
    </w:rPr>
  </w:style>
  <w:style w:type="character" w:styleId="732">
    <w:name w:val="page number"/>
    <w:basedOn w:val="728"/>
  </w:style>
  <w:style w:type="character" w:styleId="733" w:customStyle="1">
    <w:name w:val="Текст выноски Знак"/>
    <w:link w:val="752"/>
    <w:uiPriority w:val="99"/>
    <w:semiHidden/>
    <w:qFormat/>
    <w:rPr>
      <w:rFonts w:ascii="Tahoma" w:hAnsi="Tahoma" w:cs="Tahoma"/>
      <w:sz w:val="16"/>
      <w:szCs w:val="16"/>
    </w:rPr>
  </w:style>
  <w:style w:type="character" w:styleId="734" w:customStyle="1">
    <w:name w:val="Internet Link"/>
    <w:uiPriority w:val="99"/>
    <w:unhideWhenUsed/>
    <w:qFormat/>
    <w:rPr>
      <w:color w:val="0000ff"/>
      <w:u w:val="single"/>
    </w:rPr>
  </w:style>
  <w:style w:type="character" w:styleId="735" w:customStyle="1">
    <w:name w:val="Верхний колонтитул Знак"/>
    <w:link w:val="754"/>
    <w:uiPriority w:val="99"/>
    <w:qFormat/>
    <w:rPr>
      <w:sz w:val="24"/>
      <w:szCs w:val="24"/>
    </w:rPr>
  </w:style>
  <w:style w:type="character" w:styleId="736" w:customStyle="1">
    <w:name w:val="Обычный (веб) Знак"/>
    <w:link w:val="755"/>
    <w:qFormat/>
    <w:rPr>
      <w:sz w:val="24"/>
      <w:szCs w:val="24"/>
    </w:rPr>
  </w:style>
  <w:style w:type="character" w:styleId="737" w:customStyle="1">
    <w:name w:val="Основной текст с отступом 3 Знак"/>
    <w:link w:val="756"/>
    <w:qFormat/>
    <w:rPr>
      <w:sz w:val="28"/>
      <w:szCs w:val="28"/>
    </w:rPr>
  </w:style>
  <w:style w:type="character" w:styleId="738" w:customStyle="1">
    <w:name w:val="Нижний колонтитул Знак"/>
    <w:link w:val="750"/>
    <w:uiPriority w:val="99"/>
    <w:qFormat/>
    <w:rPr>
      <w:sz w:val="24"/>
      <w:szCs w:val="24"/>
    </w:rPr>
  </w:style>
  <w:style w:type="character" w:styleId="739" w:customStyle="1">
    <w:name w:val="Основной текст с отступом Знак"/>
    <w:basedOn w:val="728"/>
    <w:link w:val="757"/>
    <w:uiPriority w:val="99"/>
    <w:semiHidden/>
    <w:qFormat/>
    <w:rPr>
      <w:sz w:val="24"/>
      <w:szCs w:val="24"/>
    </w:rPr>
  </w:style>
  <w:style w:type="character" w:styleId="740" w:customStyle="1">
    <w:name w:val="Табличный_боковик_11 Знак"/>
    <w:link w:val="759"/>
    <w:qFormat/>
    <w:rPr>
      <w:sz w:val="22"/>
      <w:szCs w:val="24"/>
    </w:rPr>
  </w:style>
  <w:style w:type="character" w:styleId="741" w:customStyle="1">
    <w:name w:val="button-search"/>
    <w:basedOn w:val="728"/>
    <w:qFormat/>
  </w:style>
  <w:style w:type="character" w:styleId="742">
    <w:name w:val="Hyperlink"/>
    <w:rPr>
      <w:color w:val="000080"/>
      <w:u w:val="single"/>
    </w:rPr>
  </w:style>
  <w:style w:type="paragraph" w:styleId="743">
    <w:name w:val="Title"/>
    <w:basedOn w:val="727"/>
    <w:next w:val="744"/>
    <w:qFormat/>
    <w:pPr>
      <w:keepNext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744">
    <w:name w:val="Body Text"/>
    <w:basedOn w:val="727"/>
    <w:pPr>
      <w:spacing w:after="140" w:line="276" w:lineRule="auto"/>
    </w:pPr>
  </w:style>
  <w:style w:type="paragraph" w:styleId="745">
    <w:name w:val="List"/>
    <w:basedOn w:val="744"/>
    <w:rPr>
      <w:rFonts w:cs="Droid Sans"/>
    </w:rPr>
  </w:style>
  <w:style w:type="paragraph" w:styleId="746">
    <w:name w:val="Caption"/>
    <w:basedOn w:val="727"/>
    <w:qFormat/>
    <w:pPr>
      <w:spacing w:before="120" w:after="120"/>
      <w:suppressLineNumbers/>
    </w:pPr>
    <w:rPr>
      <w:rFonts w:cs="Droid Sans"/>
      <w:i/>
      <w:iCs/>
    </w:rPr>
  </w:style>
  <w:style w:type="paragraph" w:styleId="747">
    <w:name w:val="index heading"/>
    <w:basedOn w:val="727"/>
    <w:qFormat/>
    <w:pPr>
      <w:suppressLineNumbers/>
    </w:pPr>
    <w:rPr>
      <w:rFonts w:cs="Droid Sans"/>
    </w:rPr>
  </w:style>
  <w:style w:type="paragraph" w:styleId="748">
    <w:name w:val="Document Map"/>
    <w:basedOn w:val="727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749" w:customStyle="1">
    <w:name w:val="Header and Footer"/>
    <w:basedOn w:val="727"/>
    <w:qFormat/>
  </w:style>
  <w:style w:type="paragraph" w:styleId="750">
    <w:name w:val="Footer"/>
    <w:basedOn w:val="727"/>
    <w:link w:val="738"/>
    <w:uiPriority w:val="99"/>
    <w:pPr>
      <w:tabs>
        <w:tab w:val="center" w:pos="4677" w:leader="none"/>
        <w:tab w:val="right" w:pos="9355" w:leader="none"/>
      </w:tabs>
    </w:pPr>
  </w:style>
  <w:style w:type="paragraph" w:styleId="751">
    <w:name w:val="List Paragraph"/>
    <w:basedOn w:val="727"/>
    <w:uiPriority w:val="34"/>
    <w:qFormat/>
    <w:pPr>
      <w:contextualSpacing/>
      <w:ind w:left="720"/>
    </w:pPr>
  </w:style>
  <w:style w:type="paragraph" w:styleId="752">
    <w:name w:val="Balloon Text"/>
    <w:basedOn w:val="727"/>
    <w:link w:val="733"/>
    <w:uiPriority w:val="99"/>
    <w:semiHidden/>
    <w:unhideWhenUsed/>
    <w:qFormat/>
    <w:rPr>
      <w:rFonts w:ascii="Tahoma" w:hAnsi="Tahoma"/>
      <w:sz w:val="16"/>
      <w:szCs w:val="16"/>
    </w:rPr>
  </w:style>
  <w:style w:type="paragraph" w:styleId="753" w:customStyle="1">
    <w:name w:val="ConsPlusNonformat"/>
    <w:uiPriority w:val="99"/>
    <w:qFormat/>
    <w:pPr>
      <w:widowControl w:val="off"/>
    </w:pPr>
    <w:rPr>
      <w:rFonts w:ascii="Courier New" w:hAnsi="Courier New" w:cs="Courier New"/>
    </w:rPr>
  </w:style>
  <w:style w:type="paragraph" w:styleId="754">
    <w:name w:val="Header"/>
    <w:basedOn w:val="727"/>
    <w:link w:val="735"/>
    <w:uiPriority w:val="99"/>
    <w:unhideWhenUsed/>
    <w:pPr>
      <w:tabs>
        <w:tab w:val="center" w:pos="4677" w:leader="none"/>
        <w:tab w:val="right" w:pos="9355" w:leader="none"/>
      </w:tabs>
    </w:pPr>
  </w:style>
  <w:style w:type="paragraph" w:styleId="755">
    <w:name w:val="Normal (Web)"/>
    <w:basedOn w:val="727"/>
    <w:link w:val="736"/>
    <w:qFormat/>
    <w:pPr>
      <w:spacing w:beforeAutospacing="1" w:afterAutospacing="1"/>
    </w:pPr>
  </w:style>
  <w:style w:type="paragraph" w:styleId="756">
    <w:name w:val="Body Text Indent 3"/>
    <w:basedOn w:val="727"/>
    <w:link w:val="737"/>
    <w:qFormat/>
    <w:pPr>
      <w:ind w:right="-143" w:firstLine="709"/>
      <w:jc w:val="both"/>
    </w:pPr>
    <w:rPr>
      <w:sz w:val="28"/>
      <w:szCs w:val="28"/>
    </w:rPr>
  </w:style>
  <w:style w:type="paragraph" w:styleId="757" w:customStyle="1">
    <w:name w:val="Body Text;Indented"/>
    <w:basedOn w:val="727"/>
    <w:link w:val="739"/>
    <w:uiPriority w:val="99"/>
    <w:semiHidden/>
    <w:unhideWhenUsed/>
    <w:qFormat/>
    <w:pPr>
      <w:ind w:left="283"/>
      <w:spacing w:after="120"/>
    </w:pPr>
  </w:style>
  <w:style w:type="paragraph" w:styleId="758" w:customStyle="1">
    <w:name w:val="ConsPlusNormal"/>
    <w:qFormat/>
    <w:rPr>
      <w:sz w:val="28"/>
      <w:szCs w:val="28"/>
    </w:rPr>
  </w:style>
  <w:style w:type="paragraph" w:styleId="759" w:customStyle="1">
    <w:name w:val="Табличный_боковик_11"/>
    <w:link w:val="740"/>
    <w:qFormat/>
    <w:rPr>
      <w:sz w:val="22"/>
      <w:szCs w:val="24"/>
    </w:rPr>
  </w:style>
  <w:style w:type="paragraph" w:styleId="760" w:customStyle="1">
    <w:name w:val="Default"/>
    <w:qFormat/>
    <w:rPr>
      <w:color w:val="000000"/>
      <w:sz w:val="24"/>
      <w:szCs w:val="24"/>
    </w:rPr>
  </w:style>
  <w:style w:type="paragraph" w:styleId="761" w:customStyle="1">
    <w:name w:val="Содержимое врезки"/>
    <w:basedOn w:val="727"/>
    <w:qFormat/>
  </w:style>
  <w:style w:type="numbering" w:styleId="762" w:customStyle="1">
    <w:name w:val="Без списка"/>
    <w:uiPriority w:val="99"/>
    <w:semiHidden/>
    <w:unhideWhenUsed/>
    <w:qFormat/>
  </w:style>
  <w:style w:type="table" w:styleId="763">
    <w:name w:val="Table Grid"/>
    <w:basedOn w:val="72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http://www.torgi.gov.ru/" TargetMode="External"/><Relationship Id="rId14" Type="http://schemas.openxmlformats.org/officeDocument/2006/relationships/hyperlink" Target="http://www.dizo.nso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5871E-1ECB-4275-93C5-ACF6F7BA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ADMNSR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subject/>
  <dc:creator>Admin</dc:creator>
  <dc:description/>
  <dc:language>ru-RU</dc:language>
  <cp:lastModifiedBy>sasdv</cp:lastModifiedBy>
  <cp:revision>6</cp:revision>
  <dcterms:created xsi:type="dcterms:W3CDTF">2026-07-09T02:52:00Z</dcterms:created>
  <dcterms:modified xsi:type="dcterms:W3CDTF">2026-07-09T07:55:35Z</dcterms:modified>
</cp:coreProperties>
</file>