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firstLine="709"/>
        <w:jc w:val="center"/>
        <w:tabs>
          <w:tab w:val="center" w:pos="5173" w:leader="none"/>
          <w:tab w:val="left" w:pos="7764" w:leader="none"/>
        </w:tabs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Извещение о проведении аукциона в электронной форме</w:t>
      </w:r>
      <w:r>
        <w:rPr>
          <w:b/>
          <w:sz w:val="26"/>
          <w:szCs w:val="26"/>
        </w:rPr>
      </w:r>
      <w:r>
        <w:rPr>
          <w:b/>
          <w:sz w:val="26"/>
          <w:szCs w:val="26"/>
        </w:rPr>
      </w:r>
    </w:p>
    <w:p>
      <w:pPr>
        <w:ind w:firstLine="709"/>
        <w:jc w:val="center"/>
        <w:tabs>
          <w:tab w:val="center" w:pos="5173" w:leader="none"/>
          <w:tab w:val="left" w:pos="7764" w:leader="none"/>
        </w:tabs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на право заключения договора аренды земельного участка</w:t>
      </w:r>
      <w:r>
        <w:rPr>
          <w:b/>
          <w:sz w:val="26"/>
          <w:szCs w:val="26"/>
        </w:rPr>
      </w:r>
      <w:r>
        <w:rPr>
          <w:b/>
          <w:sz w:val="26"/>
          <w:szCs w:val="26"/>
        </w:rPr>
      </w:r>
    </w:p>
    <w:p>
      <w:pPr>
        <w:ind w:firstLine="709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</w:r>
      <w:r>
        <w:rPr>
          <w:b/>
          <w:sz w:val="26"/>
          <w:szCs w:val="26"/>
        </w:rPr>
      </w:r>
      <w:r>
        <w:rPr>
          <w:b/>
          <w:sz w:val="26"/>
          <w:szCs w:val="26"/>
        </w:rPr>
      </w:r>
    </w:p>
    <w:p>
      <w:pPr>
        <w:pStyle w:val="965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Департамент имущества и земельных отношений Новосибирской области извещает о проведении аукциона в электронной форме на право заключения договора аренды земельного участка.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ind w:firstLine="709"/>
        <w:jc w:val="both"/>
        <w:rPr>
          <w:sz w:val="26"/>
          <w:szCs w:val="26"/>
        </w:rPr>
      </w:pPr>
      <w:r>
        <w:rPr>
          <w:rStyle w:val="946"/>
          <w:sz w:val="26"/>
          <w:szCs w:val="26"/>
        </w:rPr>
        <w:t xml:space="preserve">Организатор аукциона в электронной форме:</w:t>
      </w:r>
      <w:r>
        <w:rPr>
          <w:sz w:val="26"/>
          <w:szCs w:val="26"/>
        </w:rPr>
        <w:t xml:space="preserve"> департамент имущества и земельных отношений Новосибирской области, местонахождение</w:t>
      </w:r>
      <w:r>
        <w:t xml:space="preserve"> </w:t>
      </w:r>
      <w:r>
        <w:rPr>
          <w:sz w:val="26"/>
          <w:szCs w:val="26"/>
        </w:rPr>
        <w:t xml:space="preserve">630007, город Новосибирск, Красный проспект, дом 18,</w:t>
      </w:r>
      <w:r>
        <w:t xml:space="preserve"> </w:t>
      </w:r>
      <w:r>
        <w:rPr>
          <w:sz w:val="26"/>
          <w:szCs w:val="26"/>
        </w:rPr>
        <w:t xml:space="preserve">адрес сайта: </w:t>
      </w:r>
      <w:hyperlink r:id="rId13" w:tooltip="http://dizo.nso.ru" w:history="1">
        <w:r>
          <w:rPr>
            <w:rStyle w:val="954"/>
            <w:sz w:val="26"/>
            <w:szCs w:val="26"/>
          </w:rPr>
          <w:t xml:space="preserve">http://dizo.nso.ru</w:t>
        </w:r>
      </w:hyperlink>
      <w:r>
        <w:rPr>
          <w:sz w:val="26"/>
          <w:szCs w:val="26"/>
        </w:rPr>
        <w:t xml:space="preserve">, адрес электронной почты: </w:t>
      </w:r>
      <w:hyperlink r:id="rId14" w:tooltip="mailto:dgi@nso.ru" w:history="1">
        <w:r>
          <w:rPr>
            <w:rStyle w:val="954"/>
            <w:sz w:val="26"/>
            <w:szCs w:val="26"/>
            <w:lang w:val="en-US"/>
          </w:rPr>
          <w:t xml:space="preserve">dgi</w:t>
        </w:r>
        <w:r>
          <w:rPr>
            <w:rStyle w:val="954"/>
            <w:sz w:val="26"/>
            <w:szCs w:val="26"/>
          </w:rPr>
          <w:t xml:space="preserve">@nso.ru</w:t>
        </w:r>
      </w:hyperlink>
      <w:r>
        <w:rPr>
          <w:sz w:val="26"/>
          <w:szCs w:val="26"/>
        </w:rPr>
        <w:t xml:space="preserve">, телефон: +7 (383) 238-60-02.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ind w:firstLine="709"/>
        <w:jc w:val="both"/>
        <w:rPr>
          <w:sz w:val="26"/>
          <w:szCs w:val="26"/>
        </w:rPr>
      </w:pPr>
      <w:r>
        <w:rPr>
          <w:b/>
          <w:sz w:val="26"/>
          <w:szCs w:val="26"/>
        </w:rPr>
        <w:t xml:space="preserve">Орган, уполномоченный на распоряжение земельным участком:</w:t>
      </w:r>
      <w:r>
        <w:rPr>
          <w:sz w:val="26"/>
          <w:szCs w:val="26"/>
        </w:rPr>
        <w:t xml:space="preserve"> департамент имущества и земельных отношений Новосибирской области.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ind w:firstLine="709"/>
        <w:jc w:val="both"/>
        <w:rPr>
          <w:sz w:val="26"/>
          <w:szCs w:val="26"/>
        </w:rPr>
      </w:pPr>
      <w:r>
        <w:rPr>
          <w:rStyle w:val="946"/>
          <w:sz w:val="26"/>
          <w:szCs w:val="26"/>
        </w:rPr>
        <w:t xml:space="preserve">Реквизиты решения о проведении аукциона:</w:t>
      </w:r>
      <w:r>
        <w:rPr>
          <w:sz w:val="26"/>
          <w:szCs w:val="26"/>
        </w:rPr>
        <w:t xml:space="preserve"> приказ департамента имущества и земельных отношений Новосибирской области от 04.06.2026 № 1637 «О проведении аукциона на право заключения договора аренды земельного участка с кадастровым номером 54:07:041401:809».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ind w:firstLine="709"/>
        <w:jc w:val="both"/>
        <w:rPr>
          <w:rStyle w:val="946"/>
          <w:b w:val="0"/>
          <w:sz w:val="26"/>
          <w:szCs w:val="26"/>
        </w:rPr>
      </w:pPr>
      <w:r>
        <w:rPr>
          <w:rStyle w:val="946"/>
          <w:sz w:val="26"/>
          <w:szCs w:val="26"/>
        </w:rPr>
        <w:t xml:space="preserve">Оператор электронной площадки:</w:t>
      </w:r>
      <w:r>
        <w:rPr>
          <w:rStyle w:val="946"/>
          <w:b w:val="0"/>
          <w:sz w:val="26"/>
          <w:szCs w:val="26"/>
        </w:rPr>
        <w:t xml:space="preserve"> общество с ограниченной ответственностью «РТС-тендер», местонахождения: 121151, город Москва, набережная Тараса Шевченко, дом 23А,</w:t>
      </w:r>
      <w:r>
        <w:t xml:space="preserve"> </w:t>
      </w:r>
      <w:r>
        <w:rPr>
          <w:rStyle w:val="946"/>
          <w:b w:val="0"/>
          <w:sz w:val="26"/>
          <w:szCs w:val="26"/>
        </w:rPr>
        <w:t xml:space="preserve">этаж 25, помещение №1, адрес сайта: </w:t>
      </w:r>
      <w:hyperlink r:id="rId15" w:tooltip="http://www.rts-tender.ru" w:history="1">
        <w:r>
          <w:rPr>
            <w:rStyle w:val="954"/>
            <w:sz w:val="26"/>
            <w:szCs w:val="26"/>
          </w:rPr>
          <w:t xml:space="preserve">www.rts-tender.ru</w:t>
        </w:r>
      </w:hyperlink>
      <w:r>
        <w:rPr>
          <w:rStyle w:val="946"/>
          <w:b w:val="0"/>
          <w:sz w:val="26"/>
          <w:szCs w:val="26"/>
        </w:rPr>
        <w:t xml:space="preserve">, адрес электронной почты: </w:t>
      </w:r>
      <w:hyperlink r:id="rId16" w:tooltip="mailto:iSupport@rts-tender.ru" w:history="1">
        <w:r>
          <w:rPr>
            <w:rStyle w:val="954"/>
            <w:sz w:val="26"/>
            <w:szCs w:val="26"/>
          </w:rPr>
          <w:t xml:space="preserve">iSupport@rts-tender.ru</w:t>
        </w:r>
      </w:hyperlink>
      <w:r>
        <w:rPr>
          <w:rStyle w:val="946"/>
          <w:b w:val="0"/>
          <w:sz w:val="26"/>
          <w:szCs w:val="26"/>
        </w:rPr>
        <w:t xml:space="preserve">, телефон: +7 (499) 653-55-00.</w:t>
      </w:r>
      <w:r>
        <w:rPr>
          <w:rStyle w:val="946"/>
          <w:b w:val="0"/>
          <w:sz w:val="26"/>
          <w:szCs w:val="26"/>
        </w:rPr>
      </w:r>
      <w:r>
        <w:rPr>
          <w:rStyle w:val="946"/>
          <w:b w:val="0"/>
          <w:sz w:val="26"/>
          <w:szCs w:val="26"/>
        </w:rPr>
      </w:r>
    </w:p>
    <w:p>
      <w:pPr>
        <w:ind w:firstLine="709"/>
        <w:jc w:val="both"/>
        <w:rPr>
          <w:rStyle w:val="946"/>
          <w:b w:val="0"/>
          <w:sz w:val="26"/>
          <w:szCs w:val="26"/>
        </w:rPr>
      </w:pPr>
      <w:r>
        <w:rPr>
          <w:rStyle w:val="946"/>
          <w:sz w:val="26"/>
          <w:szCs w:val="26"/>
        </w:rPr>
        <w:t xml:space="preserve">Форма торгов: </w:t>
      </w:r>
      <w:r>
        <w:rPr>
          <w:rStyle w:val="946"/>
          <w:b w:val="0"/>
          <w:sz w:val="26"/>
          <w:szCs w:val="26"/>
        </w:rPr>
        <w:t xml:space="preserve">аукцион в электронной форме, открытый по форме подачи предложений и по составу участников.</w:t>
      </w:r>
      <w:r>
        <w:rPr>
          <w:rStyle w:val="946"/>
          <w:b w:val="0"/>
          <w:sz w:val="26"/>
          <w:szCs w:val="26"/>
        </w:rPr>
      </w:r>
      <w:r>
        <w:rPr>
          <w:rStyle w:val="946"/>
          <w:b w:val="0"/>
          <w:sz w:val="26"/>
          <w:szCs w:val="26"/>
        </w:rPr>
      </w:r>
    </w:p>
    <w:p>
      <w:pPr>
        <w:ind w:firstLine="709"/>
        <w:jc w:val="both"/>
        <w:rPr>
          <w:sz w:val="26"/>
          <w:szCs w:val="26"/>
        </w:rPr>
      </w:pPr>
      <w:r>
        <w:rPr>
          <w:rStyle w:val="946"/>
          <w:sz w:val="26"/>
          <w:szCs w:val="26"/>
        </w:rPr>
        <w:t xml:space="preserve">Дата проведения аукциона:</w:t>
      </w:r>
      <w:r>
        <w:rPr>
          <w:sz w:val="26"/>
          <w:szCs w:val="26"/>
        </w:rPr>
        <w:t xml:space="preserve"> 31 августа 2026 года.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ind w:firstLine="709"/>
        <w:jc w:val="both"/>
        <w:rPr>
          <w:sz w:val="26"/>
          <w:szCs w:val="26"/>
        </w:rPr>
      </w:pPr>
      <w:r>
        <w:rPr>
          <w:b/>
          <w:sz w:val="26"/>
          <w:szCs w:val="26"/>
        </w:rPr>
        <w:t xml:space="preserve">Время проведения аукциона:</w:t>
      </w:r>
      <w:r>
        <w:rPr>
          <w:sz w:val="26"/>
          <w:szCs w:val="26"/>
        </w:rPr>
        <w:t xml:space="preserve"> 10:00 по местному времени.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ind w:firstLine="709"/>
        <w:jc w:val="both"/>
        <w:rPr>
          <w:sz w:val="26"/>
          <w:szCs w:val="26"/>
        </w:rPr>
        <w:outlineLvl w:val="0"/>
      </w:pPr>
      <w:r>
        <w:rPr>
          <w:rStyle w:val="946"/>
          <w:sz w:val="26"/>
          <w:szCs w:val="26"/>
        </w:rPr>
        <w:t xml:space="preserve">Порядок проведения аукциона:</w:t>
      </w:r>
      <w:r>
        <w:rPr>
          <w:sz w:val="26"/>
          <w:szCs w:val="26"/>
        </w:rPr>
        <w:t xml:space="preserve"> оператор электронной площадки обеспе</w:t>
      </w:r>
      <w:r>
        <w:rPr>
          <w:sz w:val="26"/>
          <w:szCs w:val="26"/>
        </w:rPr>
        <w:t xml:space="preserve">чивает участникам возможность принять участие в аукционе. Аукцион проводится путем повышения начальной цены предмета аукциона на «шаг аукциона».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ind w:firstLine="709"/>
        <w:jc w:val="both"/>
        <w:rPr>
          <w:sz w:val="26"/>
          <w:szCs w:val="26"/>
        </w:rPr>
        <w:outlineLvl w:val="0"/>
      </w:pPr>
      <w:r>
        <w:rPr>
          <w:sz w:val="26"/>
          <w:szCs w:val="26"/>
        </w:rPr>
        <w:t xml:space="preserve">Если в течение 10 (десяти) минут со времени начала проведения процедуры аукциона не поступило ни одного предлож</w:t>
      </w:r>
      <w:r>
        <w:rPr>
          <w:sz w:val="26"/>
          <w:szCs w:val="26"/>
        </w:rPr>
        <w:t xml:space="preserve">ения о цене предмета аукциона, которое предусматривало бы более высокую цену предмета аукциона, аукцион завершается с помощью программных и технических средств электронной площадки.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ind w:firstLine="709"/>
        <w:jc w:val="both"/>
        <w:rPr>
          <w:sz w:val="26"/>
          <w:szCs w:val="26"/>
        </w:rPr>
        <w:outlineLvl w:val="0"/>
      </w:pPr>
      <w:r>
        <w:rPr>
          <w:sz w:val="26"/>
          <w:szCs w:val="26"/>
        </w:rPr>
        <w:t xml:space="preserve">В случае поступления предложения о более высокой цене предмета аукциона, в</w:t>
      </w:r>
      <w:r>
        <w:rPr>
          <w:sz w:val="26"/>
          <w:szCs w:val="26"/>
        </w:rPr>
        <w:t xml:space="preserve">ремя представления следующих предложений о цене предмета аукциона продлевается на 10 (десять) минут.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ind w:firstLine="709"/>
        <w:jc w:val="both"/>
        <w:rPr>
          <w:sz w:val="26"/>
          <w:szCs w:val="26"/>
        </w:rPr>
        <w:outlineLvl w:val="0"/>
      </w:pPr>
      <w:r>
        <w:rPr>
          <w:sz w:val="26"/>
          <w:szCs w:val="26"/>
        </w:rPr>
        <w:t xml:space="preserve">Аукцион завершается, если в течение 10 (десяти) минут после поступления последнего предложения о цене предмета аукциона ни один участник не сделал предложе</w:t>
      </w:r>
      <w:r>
        <w:rPr>
          <w:sz w:val="26"/>
          <w:szCs w:val="26"/>
        </w:rPr>
        <w:t xml:space="preserve">ние о цене предмета аукциона, которое предусматривало бы более высокую цену предмета аукциона.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ind w:firstLine="709"/>
        <w:jc w:val="both"/>
        <w:rPr>
          <w:sz w:val="26"/>
          <w:szCs w:val="26"/>
        </w:rPr>
        <w:outlineLvl w:val="0"/>
      </w:pPr>
      <w:r>
        <w:rPr>
          <w:sz w:val="26"/>
          <w:szCs w:val="26"/>
        </w:rPr>
        <w:t xml:space="preserve">Победителем признается участник, предложивший наибольшую цену предмета аукциона.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Ход проведения процедуры аукциона фиксируется оператором электронной площадки в </w:t>
      </w:r>
      <w:r>
        <w:rPr>
          <w:sz w:val="26"/>
          <w:szCs w:val="26"/>
        </w:rPr>
        <w:t xml:space="preserve">электронном журнале, который направляется организатору аукциона в течение 1 (одного) часа со времени завершения аукциона для подведения аукционной комиссией результатов аукциона путем оформления протокола о результатах аукциона.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Протокол о результатах аукц</w:t>
      </w:r>
      <w:r>
        <w:rPr>
          <w:sz w:val="26"/>
          <w:szCs w:val="26"/>
        </w:rPr>
        <w:t xml:space="preserve">иона публикуется организатором аукциона на электронной площадке.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Оператор электронной площадки размещает протокол о результатах аукциона на официальном сайте торгов в течение одного рабочего дня со дня его подписания.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ind w:firstLine="709"/>
        <w:jc w:val="both"/>
        <w:rPr>
          <w:sz w:val="26"/>
          <w:szCs w:val="26"/>
        </w:rPr>
      </w:pPr>
      <w:r>
        <w:rPr>
          <w:rStyle w:val="946"/>
          <w:sz w:val="26"/>
          <w:szCs w:val="26"/>
        </w:rPr>
        <w:t xml:space="preserve">Предмет аукциона:</w:t>
      </w:r>
      <w:r>
        <w:rPr>
          <w:sz w:val="26"/>
          <w:szCs w:val="26"/>
        </w:rPr>
        <w:t xml:space="preserve"> право на заключение договора арен</w:t>
      </w:r>
      <w:r>
        <w:rPr>
          <w:sz w:val="26"/>
          <w:szCs w:val="26"/>
        </w:rPr>
        <w:t xml:space="preserve">ды земельного участка.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ind w:firstLine="709"/>
        <w:jc w:val="center"/>
        <w:keepNext/>
        <w:rPr>
          <w:rStyle w:val="946"/>
          <w:sz w:val="26"/>
          <w:szCs w:val="26"/>
        </w:rPr>
      </w:pPr>
      <w:r>
        <w:rPr>
          <w:sz w:val="26"/>
          <w:szCs w:val="26"/>
        </w:rPr>
      </w:r>
      <w:r>
        <w:rPr>
          <w:rStyle w:val="946"/>
          <w:sz w:val="26"/>
          <w:szCs w:val="26"/>
        </w:rPr>
      </w:r>
      <w:r>
        <w:rPr>
          <w:rStyle w:val="946"/>
          <w:sz w:val="26"/>
          <w:szCs w:val="26"/>
        </w:rPr>
      </w:r>
    </w:p>
    <w:p>
      <w:pPr>
        <w:ind w:firstLine="709"/>
        <w:jc w:val="center"/>
        <w:keepNext/>
        <w:rPr>
          <w:rStyle w:val="946"/>
          <w:sz w:val="26"/>
          <w:szCs w:val="26"/>
        </w:rPr>
      </w:pPr>
      <w:r>
        <w:rPr>
          <w:rStyle w:val="946"/>
          <w:sz w:val="26"/>
          <w:szCs w:val="26"/>
        </w:rPr>
        <w:t xml:space="preserve">Лот № 1</w:t>
      </w:r>
      <w:r>
        <w:rPr>
          <w:rStyle w:val="946"/>
          <w:sz w:val="26"/>
          <w:szCs w:val="26"/>
        </w:rPr>
      </w:r>
      <w:r>
        <w:rPr>
          <w:rStyle w:val="946"/>
          <w:sz w:val="26"/>
          <w:szCs w:val="26"/>
        </w:rPr>
      </w:r>
    </w:p>
    <w:p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Земельный участок, государственная собственность на который не разграничена, с кадастровым номером 54:07:041401:809, площадью 2872 </w:t>
      </w:r>
      <w:r>
        <w:rPr>
          <w:sz w:val="26"/>
          <w:szCs w:val="26"/>
        </w:rPr>
        <w:t xml:space="preserve">кв.м</w:t>
      </w:r>
      <w:r>
        <w:rPr>
          <w:sz w:val="26"/>
          <w:szCs w:val="26"/>
        </w:rPr>
        <w:t xml:space="preserve">, местоположение:  Российская Федерация, Новосибирская область, Искитимский район, Быстровский сельсовет, п. Тула</w:t>
      </w:r>
      <w:r>
        <w:rPr>
          <w:sz w:val="26"/>
          <w:szCs w:val="26"/>
        </w:rPr>
        <w:t xml:space="preserve">, категория земель: земли населенных пунктов, разрешенное использование: для ведения личного подсобного хозяйства (приусадебный земельный участок) (2.2).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ind w:firstLine="709"/>
        <w:jc w:val="both"/>
        <w:rPr>
          <w:rStyle w:val="946"/>
          <w:b w:val="0"/>
          <w:bCs w:val="0"/>
          <w:sz w:val="26"/>
          <w:szCs w:val="26"/>
        </w:rPr>
      </w:pPr>
      <w:r>
        <w:rPr>
          <w:rStyle w:val="946"/>
          <w:sz w:val="26"/>
          <w:szCs w:val="26"/>
        </w:rPr>
        <w:t xml:space="preserve">Ограничение прав и обременение земельного участка: </w:t>
      </w:r>
      <w:r>
        <w:rPr>
          <w:rStyle w:val="946"/>
          <w:b w:val="0"/>
          <w:bCs w:val="0"/>
          <w:sz w:val="26"/>
          <w:szCs w:val="26"/>
        </w:rPr>
      </w:r>
      <w:r>
        <w:rPr>
          <w:rStyle w:val="946"/>
          <w:b w:val="0"/>
          <w:bCs w:val="0"/>
          <w:sz w:val="26"/>
          <w:szCs w:val="26"/>
        </w:rPr>
      </w:r>
    </w:p>
    <w:p>
      <w:pPr>
        <w:pStyle w:val="951"/>
        <w:numPr>
          <w:ilvl w:val="0"/>
          <w:numId w:val="24"/>
        </w:numPr>
        <w:ind w:left="0" w:right="0" w:firstLine="567"/>
        <w:jc w:val="both"/>
        <w:rPr>
          <w:rStyle w:val="946"/>
          <w:b w:val="0"/>
          <w:bCs w:val="0"/>
          <w:sz w:val="26"/>
          <w:szCs w:val="26"/>
        </w:rPr>
      </w:pPr>
      <w:r>
        <w:rPr>
          <w:rStyle w:val="946"/>
          <w:b w:val="0"/>
          <w:bCs w:val="0"/>
          <w:sz w:val="26"/>
          <w:szCs w:val="26"/>
          <w:highlight w:val="none"/>
        </w:rPr>
      </w:r>
      <w:r>
        <w:rPr>
          <w:rStyle w:val="946"/>
          <w:b w:val="0"/>
          <w:bCs w:val="0"/>
          <w:sz w:val="26"/>
          <w:szCs w:val="26"/>
          <w:highlight w:val="none"/>
        </w:rPr>
        <w:t xml:space="preserve">ЗОУИТ </w:t>
      </w:r>
      <w:r>
        <w:rPr>
          <w:rStyle w:val="946"/>
          <w:b w:val="0"/>
          <w:bCs w:val="0"/>
          <w:sz w:val="26"/>
          <w:szCs w:val="26"/>
          <w:highlight w:val="none"/>
        </w:rPr>
        <w:t xml:space="preserve">54:07-6.66</w:t>
      </w:r>
      <w:r>
        <w:rPr>
          <w:rStyle w:val="946"/>
          <w:b w:val="0"/>
          <w:bCs w:val="0"/>
          <w:sz w:val="26"/>
          <w:szCs w:val="26"/>
          <w:highlight w:val="none"/>
        </w:rPr>
        <w:t xml:space="preserve"> </w:t>
      </w:r>
      <w:r>
        <w:rPr>
          <w:rStyle w:val="946"/>
          <w:b w:val="0"/>
          <w:bCs w:val="0"/>
          <w:sz w:val="26"/>
          <w:szCs w:val="26"/>
          <w:highlight w:val="none"/>
        </w:rPr>
        <w:t xml:space="preserve">Охранная зона объекта электросетевого хозяйства "ВЛ-10кВ фидер-95 ПС Быстровск З2,97км ж/б"</w:t>
      </w:r>
      <w:r>
        <w:rPr>
          <w:rStyle w:val="946"/>
          <w:b w:val="0"/>
          <w:bCs w:val="0"/>
          <w:sz w:val="26"/>
          <w:szCs w:val="26"/>
          <w:highlight w:val="none"/>
        </w:rPr>
        <w:t xml:space="preserve">.</w:t>
      </w:r>
      <w:r>
        <w:rPr>
          <w:rStyle w:val="946"/>
          <w:b w:val="0"/>
          <w:bCs w:val="0"/>
          <w:sz w:val="26"/>
          <w:szCs w:val="26"/>
        </w:rPr>
      </w:r>
      <w:r>
        <w:rPr>
          <w:rStyle w:val="946"/>
          <w:b w:val="0"/>
          <w:bCs w:val="0"/>
          <w:sz w:val="26"/>
          <w:szCs w:val="26"/>
        </w:rPr>
      </w:r>
    </w:p>
    <w:p>
      <w:pPr>
        <w:ind w:right="-23" w:firstLine="709"/>
        <w:jc w:val="both"/>
        <w:shd w:val="clear" w:color="auto" w:fill="ffffff"/>
        <w:tabs>
          <w:tab w:val="left" w:pos="993" w:leader="none"/>
        </w:tabs>
        <w:rPr>
          <w:b w:val="0"/>
          <w:bCs w:val="0"/>
          <w:sz w:val="26"/>
          <w:szCs w:val="26"/>
        </w:rPr>
      </w:pPr>
      <w:r>
        <w:rPr>
          <w:b/>
          <w:sz w:val="26"/>
          <w:szCs w:val="26"/>
        </w:rPr>
        <w:t xml:space="preserve">Дополнительные сведения о земельном участке:</w:t>
      </w:r>
      <w:r>
        <w:rPr>
          <w:b/>
          <w:sz w:val="26"/>
          <w:szCs w:val="26"/>
        </w:rPr>
        <w:t xml:space="preserve"> </w:t>
      </w:r>
      <w:r>
        <w:rPr>
          <w:b w:val="0"/>
          <w:bCs w:val="0"/>
          <w:sz w:val="26"/>
          <w:szCs w:val="26"/>
        </w:rPr>
        <w:t xml:space="preserve">в границах земельного участка установлено наличие остатков фундамента, фундамент крошится. Земельный участок залесен. Через участок проходят две водопропускные трубы, пешая тропа.</w:t>
      </w:r>
      <w:r>
        <w:rPr>
          <w:b w:val="0"/>
          <w:bCs w:val="0"/>
          <w:sz w:val="26"/>
          <w:szCs w:val="26"/>
        </w:rPr>
      </w:r>
      <w:r>
        <w:rPr>
          <w:b w:val="0"/>
          <w:bCs w:val="0"/>
          <w:sz w:val="26"/>
          <w:szCs w:val="26"/>
        </w:rPr>
      </w:r>
    </w:p>
    <w:p>
      <w:pPr>
        <w:ind w:right="-22" w:firstLine="709"/>
        <w:jc w:val="both"/>
        <w:keepNext/>
        <w:shd w:val="clear" w:color="auto" w:fill="ffffff"/>
        <w:tabs>
          <w:tab w:val="left" w:pos="993" w:leader="none"/>
        </w:tabs>
        <w:rPr>
          <w:rStyle w:val="946"/>
          <w:sz w:val="26"/>
          <w:szCs w:val="26"/>
        </w:rPr>
      </w:pPr>
      <w:r>
        <w:rPr>
          <w:rStyle w:val="946"/>
          <w:sz w:val="26"/>
          <w:szCs w:val="26"/>
        </w:rPr>
        <w:t xml:space="preserve">Требование к участникам аукциона:</w:t>
      </w:r>
      <w:r>
        <w:rPr>
          <w:rStyle w:val="946"/>
          <w:sz w:val="26"/>
          <w:szCs w:val="26"/>
        </w:rPr>
      </w:r>
      <w:r>
        <w:rPr>
          <w:rStyle w:val="946"/>
          <w:sz w:val="26"/>
          <w:szCs w:val="26"/>
        </w:rPr>
      </w:r>
    </w:p>
    <w:p>
      <w:pPr>
        <w:ind w:right="-23" w:firstLine="709"/>
        <w:jc w:val="both"/>
        <w:shd w:val="clear" w:color="auto" w:fill="ffffff"/>
        <w:tabs>
          <w:tab w:val="left" w:pos="993" w:leader="none"/>
        </w:tabs>
        <w:rPr>
          <w:rStyle w:val="946"/>
          <w:b w:val="0"/>
          <w:sz w:val="26"/>
          <w:szCs w:val="26"/>
        </w:rPr>
      </w:pPr>
      <w:r>
        <w:rPr>
          <w:rStyle w:val="946"/>
          <w:b w:val="0"/>
          <w:sz w:val="26"/>
          <w:szCs w:val="26"/>
        </w:rPr>
        <w:t xml:space="preserve">В соответствии с абзацем 2 пункта 10 статьи 39.11 Земельного кодекса Российской Федерации участниками аукциона, проводимого в случае, предусмотренном пунктом 7 статьи 39.18 Земельного кодекса Российской Федерации, могут являться только граждане.</w:t>
      </w:r>
      <w:r>
        <w:rPr>
          <w:rStyle w:val="946"/>
          <w:b w:val="0"/>
          <w:sz w:val="26"/>
          <w:szCs w:val="26"/>
        </w:rPr>
      </w:r>
      <w:r>
        <w:rPr>
          <w:rStyle w:val="946"/>
          <w:b w:val="0"/>
          <w:sz w:val="26"/>
          <w:szCs w:val="26"/>
        </w:rPr>
      </w:r>
    </w:p>
    <w:p>
      <w:pPr>
        <w:ind w:right="-23" w:firstLine="709"/>
        <w:jc w:val="both"/>
        <w:shd w:val="clear" w:color="auto" w:fill="ffffff"/>
        <w:tabs>
          <w:tab w:val="left" w:pos="993" w:leader="none"/>
        </w:tabs>
        <w:rPr>
          <w:rStyle w:val="946"/>
          <w:sz w:val="26"/>
          <w:szCs w:val="26"/>
        </w:rPr>
      </w:pPr>
      <w:r>
        <w:rPr>
          <w:rStyle w:val="946"/>
          <w:sz w:val="26"/>
          <w:szCs w:val="26"/>
        </w:rPr>
        <w:t xml:space="preserve">Получение электронной подписи и регистрация (аккредитация) на электронной площадке:</w:t>
      </w:r>
      <w:r>
        <w:rPr>
          <w:rStyle w:val="946"/>
          <w:sz w:val="26"/>
          <w:szCs w:val="26"/>
        </w:rPr>
      </w:r>
      <w:r>
        <w:rPr>
          <w:rStyle w:val="946"/>
          <w:sz w:val="26"/>
          <w:szCs w:val="26"/>
        </w:rPr>
      </w:r>
    </w:p>
    <w:p>
      <w:pPr>
        <w:ind w:right="-23" w:firstLine="709"/>
        <w:jc w:val="both"/>
        <w:shd w:val="clear" w:color="auto" w:fill="ffffff"/>
        <w:tabs>
          <w:tab w:val="left" w:pos="993" w:leader="none"/>
        </w:tabs>
        <w:rPr>
          <w:rStyle w:val="946"/>
          <w:b w:val="0"/>
          <w:sz w:val="26"/>
          <w:szCs w:val="26"/>
        </w:rPr>
      </w:pPr>
      <w:r>
        <w:rPr>
          <w:rStyle w:val="946"/>
          <w:b w:val="0"/>
          <w:sz w:val="26"/>
          <w:szCs w:val="26"/>
        </w:rPr>
        <w:t xml:space="preserve">Для обеспечения доступа к участию в электронном аукционе Претенденту необходимо пройти процедуру р</w:t>
      </w:r>
      <w:r>
        <w:rPr>
          <w:rStyle w:val="946"/>
          <w:b w:val="0"/>
          <w:sz w:val="26"/>
          <w:szCs w:val="26"/>
        </w:rPr>
        <w:t xml:space="preserve">егистрации на официальном сайте торгов Российской Федерации www.torgi.gov.ru (далее – ГИС Торги). Регистрация в ГИС Торги претендентов на участие в аукционе осуществляется ежедневно, круглосуточно. Регистрация в ГИС Торги осуществляется без взимания платы.</w:t>
      </w:r>
      <w:r>
        <w:rPr>
          <w:rStyle w:val="946"/>
          <w:b w:val="0"/>
          <w:sz w:val="26"/>
          <w:szCs w:val="26"/>
        </w:rPr>
      </w:r>
      <w:r>
        <w:rPr>
          <w:rStyle w:val="946"/>
          <w:b w:val="0"/>
          <w:sz w:val="26"/>
          <w:szCs w:val="26"/>
        </w:rPr>
      </w:r>
    </w:p>
    <w:p>
      <w:pPr>
        <w:ind w:right="-23" w:firstLine="709"/>
        <w:jc w:val="both"/>
        <w:shd w:val="clear" w:color="auto" w:fill="ffffff"/>
        <w:tabs>
          <w:tab w:val="left" w:pos="993" w:leader="none"/>
        </w:tabs>
        <w:rPr>
          <w:rStyle w:val="946"/>
          <w:b w:val="0"/>
          <w:sz w:val="26"/>
          <w:szCs w:val="26"/>
        </w:rPr>
      </w:pPr>
      <w:r>
        <w:rPr>
          <w:rStyle w:val="946"/>
          <w:b w:val="0"/>
          <w:sz w:val="26"/>
          <w:szCs w:val="26"/>
        </w:rPr>
        <w:t xml:space="preserve">Пройд</w:t>
      </w:r>
      <w:r>
        <w:rPr>
          <w:rStyle w:val="946"/>
          <w:b w:val="0"/>
          <w:sz w:val="26"/>
          <w:szCs w:val="26"/>
        </w:rPr>
        <w:t xml:space="preserve">я регистрацию в ГИС Торги Претендент получает доступ к участию в торгах на электронных площадках, перечень операторов которых утвержден распоряжением Правительства РФ от 12.07.2018 № 1447-р, без прохождения дополнительных проверок и направления документов.</w:t>
      </w:r>
      <w:r>
        <w:rPr>
          <w:rStyle w:val="946"/>
          <w:b w:val="0"/>
          <w:sz w:val="26"/>
          <w:szCs w:val="26"/>
        </w:rPr>
      </w:r>
      <w:r>
        <w:rPr>
          <w:rStyle w:val="946"/>
          <w:b w:val="0"/>
          <w:sz w:val="26"/>
          <w:szCs w:val="26"/>
        </w:rPr>
      </w:r>
    </w:p>
    <w:p>
      <w:pPr>
        <w:ind w:right="-23" w:firstLine="709"/>
        <w:jc w:val="both"/>
        <w:shd w:val="clear" w:color="auto" w:fill="ffffff"/>
        <w:tabs>
          <w:tab w:val="left" w:pos="993" w:leader="none"/>
        </w:tabs>
        <w:rPr>
          <w:rStyle w:val="946"/>
          <w:b w:val="0"/>
          <w:sz w:val="26"/>
          <w:szCs w:val="26"/>
        </w:rPr>
      </w:pPr>
      <w:r>
        <w:rPr>
          <w:rStyle w:val="946"/>
          <w:b w:val="0"/>
          <w:sz w:val="26"/>
          <w:szCs w:val="26"/>
        </w:rPr>
        <w:t xml:space="preserve">После регистраци</w:t>
      </w:r>
      <w:r>
        <w:rPr>
          <w:rStyle w:val="946"/>
          <w:b w:val="0"/>
          <w:sz w:val="26"/>
          <w:szCs w:val="26"/>
        </w:rPr>
        <w:t xml:space="preserve">и в ГИС Торги информация автоматически направляется на электронные площадки по защищённым каналам. Операторы электронных площадок регистрируют участника торгов на электронной площадке не позднее рабочего дня, следующего за днем его регистрации в ГИС Торги.</w:t>
      </w:r>
      <w:r>
        <w:rPr>
          <w:rStyle w:val="946"/>
          <w:b w:val="0"/>
          <w:sz w:val="26"/>
          <w:szCs w:val="26"/>
        </w:rPr>
      </w:r>
      <w:r>
        <w:rPr>
          <w:rStyle w:val="946"/>
          <w:b w:val="0"/>
          <w:sz w:val="26"/>
          <w:szCs w:val="26"/>
        </w:rPr>
      </w:r>
    </w:p>
    <w:p>
      <w:pPr>
        <w:ind w:right="-23" w:firstLine="709"/>
        <w:jc w:val="both"/>
        <w:shd w:val="clear" w:color="auto" w:fill="ffffff"/>
        <w:tabs>
          <w:tab w:val="left" w:pos="993" w:leader="none"/>
        </w:tabs>
        <w:rPr>
          <w:rStyle w:val="946"/>
          <w:b w:val="0"/>
          <w:sz w:val="26"/>
          <w:szCs w:val="26"/>
        </w:rPr>
      </w:pPr>
      <w:r>
        <w:rPr>
          <w:rStyle w:val="946"/>
          <w:b w:val="0"/>
          <w:sz w:val="26"/>
          <w:szCs w:val="26"/>
        </w:rPr>
        <w:t xml:space="preserve">В случае если Пр</w:t>
      </w:r>
      <w:r>
        <w:rPr>
          <w:rStyle w:val="946"/>
          <w:b w:val="0"/>
          <w:sz w:val="26"/>
          <w:szCs w:val="26"/>
        </w:rPr>
        <w:t xml:space="preserve">етендент (юридическое лицо или индивидуальный предприниматель) передает полномочия на участие в торгах иному лицу по доверенности, то доверенному лицу также необходимо пройти регистрацию в ГИС Торги. При этом такому представителю необходимо иметь машиночит</w:t>
      </w:r>
      <w:r>
        <w:rPr>
          <w:rStyle w:val="946"/>
          <w:b w:val="0"/>
          <w:sz w:val="26"/>
          <w:szCs w:val="26"/>
        </w:rPr>
        <w:t xml:space="preserve">аемую доверенность выданную в соответствии с Федеральным законом «Об электронной подписи» №63-ФЗ от 06.04.2011 для возможности участвовать в электронных торгах, заверять документы электронной подписью (далее – ЭП) и загружать их на государственные порталы.</w:t>
      </w:r>
      <w:r>
        <w:rPr>
          <w:rStyle w:val="946"/>
          <w:b w:val="0"/>
          <w:sz w:val="26"/>
          <w:szCs w:val="26"/>
        </w:rPr>
      </w:r>
      <w:r>
        <w:rPr>
          <w:rStyle w:val="946"/>
          <w:b w:val="0"/>
          <w:sz w:val="26"/>
          <w:szCs w:val="26"/>
        </w:rPr>
      </w:r>
    </w:p>
    <w:p>
      <w:pPr>
        <w:ind w:right="-23" w:firstLine="709"/>
        <w:jc w:val="both"/>
        <w:shd w:val="clear" w:color="auto" w:fill="ffffff"/>
        <w:tabs>
          <w:tab w:val="left" w:pos="993" w:leader="none"/>
        </w:tabs>
        <w:rPr>
          <w:rStyle w:val="946"/>
          <w:b w:val="0"/>
          <w:sz w:val="26"/>
          <w:szCs w:val="26"/>
        </w:rPr>
      </w:pPr>
      <w:r>
        <w:rPr>
          <w:rStyle w:val="946"/>
          <w:b w:val="0"/>
          <w:sz w:val="26"/>
          <w:szCs w:val="26"/>
        </w:rPr>
        <w:t xml:space="preserve">Регистрации в ГИС Торги подлежат Претенденты, ранее не зарегистрированные</w:t>
      </w:r>
      <w:r>
        <w:rPr>
          <w:rStyle w:val="946"/>
          <w:b w:val="0"/>
          <w:sz w:val="26"/>
          <w:szCs w:val="26"/>
        </w:rPr>
        <w:br/>
        <w:t xml:space="preserve">в ГИС Торги или регистрация которых в ГИС Торги была ими прекращена. </w:t>
      </w:r>
      <w:r>
        <w:rPr>
          <w:rStyle w:val="946"/>
          <w:b w:val="0"/>
          <w:sz w:val="26"/>
          <w:szCs w:val="26"/>
        </w:rPr>
      </w:r>
      <w:r>
        <w:rPr>
          <w:rStyle w:val="946"/>
          <w:b w:val="0"/>
          <w:sz w:val="26"/>
          <w:szCs w:val="26"/>
        </w:rPr>
      </w:r>
    </w:p>
    <w:p>
      <w:pPr>
        <w:ind w:right="-23" w:firstLine="709"/>
        <w:jc w:val="both"/>
        <w:shd w:val="clear" w:color="auto" w:fill="ffffff"/>
        <w:tabs>
          <w:tab w:val="left" w:pos="993" w:leader="none"/>
        </w:tabs>
        <w:rPr>
          <w:rStyle w:val="946"/>
          <w:b w:val="0"/>
          <w:sz w:val="26"/>
          <w:szCs w:val="26"/>
        </w:rPr>
      </w:pPr>
      <w:r>
        <w:rPr>
          <w:rStyle w:val="946"/>
          <w:b w:val="0"/>
          <w:sz w:val="26"/>
          <w:szCs w:val="26"/>
        </w:rPr>
        <w:t xml:space="preserve">Подробно с информацией о регистрации в ГИС Торги можно ознакомиться на сайте в руководстве пользователя, размещенной в открытой части ГИС Торги в разделе «Служба поддержки» «Информационные материалы».</w:t>
      </w:r>
      <w:r>
        <w:rPr>
          <w:rStyle w:val="946"/>
          <w:b w:val="0"/>
          <w:sz w:val="26"/>
          <w:szCs w:val="26"/>
        </w:rPr>
      </w:r>
      <w:r>
        <w:rPr>
          <w:rStyle w:val="946"/>
          <w:b w:val="0"/>
          <w:sz w:val="26"/>
          <w:szCs w:val="26"/>
        </w:rPr>
      </w:r>
    </w:p>
    <w:p>
      <w:pPr>
        <w:ind w:right="-23" w:firstLine="709"/>
        <w:jc w:val="both"/>
        <w:shd w:val="clear" w:color="auto" w:fill="ffffff"/>
        <w:tabs>
          <w:tab w:val="left" w:pos="993" w:leader="none"/>
        </w:tabs>
        <w:rPr>
          <w:rStyle w:val="946"/>
          <w:b w:val="0"/>
          <w:sz w:val="26"/>
          <w:szCs w:val="26"/>
        </w:rPr>
      </w:pPr>
      <w:r>
        <w:rPr>
          <w:rStyle w:val="946"/>
          <w:b w:val="0"/>
          <w:sz w:val="26"/>
          <w:szCs w:val="26"/>
        </w:rPr>
        <w:t xml:space="preserve">Для обеспечения доступа к под</w:t>
      </w:r>
      <w:r>
        <w:rPr>
          <w:rStyle w:val="946"/>
          <w:b w:val="0"/>
          <w:sz w:val="26"/>
          <w:szCs w:val="26"/>
        </w:rPr>
        <w:t xml:space="preserve">аче заявки и к участию в аукционе заявителю необходимо пройти аккредитацию на электронной площадке в соответствии с регламентом оператора электронной площадки и инструкциями претендента. Регламент, определяющий правила функционирования электронной площадки</w:t>
      </w:r>
      <w:r>
        <w:t xml:space="preserve"> </w:t>
      </w:r>
      <w:r>
        <w:rPr>
          <w:rStyle w:val="946"/>
          <w:b w:val="0"/>
          <w:sz w:val="26"/>
          <w:szCs w:val="26"/>
        </w:rPr>
        <w:t xml:space="preserve">расположен в информационно-телекоммуникационной сети «Интернет»</w:t>
      </w:r>
      <w:r>
        <w:t xml:space="preserve"> </w:t>
      </w:r>
      <w:r>
        <w:rPr>
          <w:rStyle w:val="946"/>
          <w:b w:val="0"/>
          <w:sz w:val="26"/>
          <w:szCs w:val="26"/>
        </w:rPr>
        <w:t xml:space="preserve">по адресу: </w:t>
      </w:r>
      <w:hyperlink r:id="rId17" w:tooltip="https://www.rts-tender.ru/platform-rules/platform-property-sales" w:history="1">
        <w:r>
          <w:rPr>
            <w:rStyle w:val="954"/>
            <w:bCs/>
            <w:sz w:val="26"/>
            <w:szCs w:val="26"/>
          </w:rPr>
          <w:t xml:space="preserve">https://www.rts-tender.ru/platform-rules/platform-property-sales</w:t>
        </w:r>
      </w:hyperlink>
      <w:r>
        <w:rPr>
          <w:rStyle w:val="954"/>
          <w:bCs/>
          <w:sz w:val="26"/>
          <w:szCs w:val="26"/>
        </w:rPr>
        <w:t xml:space="preserve"> </w:t>
      </w:r>
      <w:r>
        <w:rPr>
          <w:rStyle w:val="946"/>
          <w:b w:val="0"/>
          <w:sz w:val="26"/>
          <w:szCs w:val="26"/>
        </w:rPr>
        <w:t xml:space="preserve">.</w:t>
      </w:r>
      <w:r>
        <w:rPr>
          <w:rStyle w:val="946"/>
          <w:b w:val="0"/>
          <w:sz w:val="26"/>
          <w:szCs w:val="26"/>
        </w:rPr>
      </w:r>
      <w:r>
        <w:rPr>
          <w:rStyle w:val="946"/>
          <w:b w:val="0"/>
          <w:sz w:val="26"/>
          <w:szCs w:val="26"/>
        </w:rPr>
      </w:r>
    </w:p>
    <w:p>
      <w:pPr>
        <w:ind w:right="-23" w:firstLine="709"/>
        <w:jc w:val="both"/>
        <w:shd w:val="clear" w:color="auto" w:fill="ffffff"/>
        <w:tabs>
          <w:tab w:val="left" w:pos="993" w:leader="none"/>
        </w:tabs>
        <w:rPr>
          <w:rStyle w:val="946"/>
          <w:sz w:val="26"/>
          <w:szCs w:val="26"/>
        </w:rPr>
      </w:pPr>
      <w:r>
        <w:rPr>
          <w:rStyle w:val="946"/>
          <w:sz w:val="26"/>
          <w:szCs w:val="26"/>
        </w:rPr>
        <w:t xml:space="preserve">Заключение договора</w:t>
      </w:r>
      <w:r>
        <w:t xml:space="preserve"> </w:t>
      </w:r>
      <w:r>
        <w:rPr>
          <w:rStyle w:val="946"/>
          <w:sz w:val="26"/>
          <w:szCs w:val="26"/>
        </w:rPr>
        <w:t xml:space="preserve">в электронной форме:</w:t>
      </w:r>
      <w:r>
        <w:rPr>
          <w:rStyle w:val="946"/>
          <w:sz w:val="26"/>
          <w:szCs w:val="26"/>
        </w:rPr>
      </w:r>
      <w:r>
        <w:rPr>
          <w:rStyle w:val="946"/>
          <w:sz w:val="26"/>
          <w:szCs w:val="26"/>
        </w:rPr>
      </w:r>
    </w:p>
    <w:p>
      <w:pPr>
        <w:ind w:right="-23" w:firstLine="709"/>
        <w:jc w:val="both"/>
        <w:shd w:val="clear" w:color="auto" w:fill="ffffff"/>
        <w:tabs>
          <w:tab w:val="left" w:pos="993" w:leader="none"/>
        </w:tabs>
        <w:rPr>
          <w:rStyle w:val="946"/>
          <w:b w:val="0"/>
          <w:sz w:val="26"/>
          <w:szCs w:val="26"/>
        </w:rPr>
      </w:pPr>
      <w:r>
        <w:rPr>
          <w:rStyle w:val="946"/>
          <w:b w:val="0"/>
          <w:sz w:val="26"/>
          <w:szCs w:val="26"/>
        </w:rPr>
        <w:t xml:space="preserve">Для заключения договора в электронной форме покупатель/арендатор должен быть зарегистрирован в ГИС Торги в качестве участника торгов.</w:t>
      </w:r>
      <w:r>
        <w:rPr>
          <w:rStyle w:val="946"/>
          <w:b w:val="0"/>
          <w:sz w:val="26"/>
          <w:szCs w:val="26"/>
        </w:rPr>
      </w:r>
      <w:r>
        <w:rPr>
          <w:rStyle w:val="946"/>
          <w:b w:val="0"/>
          <w:sz w:val="26"/>
          <w:szCs w:val="26"/>
        </w:rPr>
      </w:r>
    </w:p>
    <w:p>
      <w:pPr>
        <w:ind w:right="-23" w:firstLine="709"/>
        <w:jc w:val="both"/>
        <w:shd w:val="clear" w:color="auto" w:fill="ffffff"/>
        <w:tabs>
          <w:tab w:val="left" w:pos="993" w:leader="none"/>
        </w:tabs>
        <w:rPr>
          <w:rStyle w:val="946"/>
          <w:b w:val="0"/>
          <w:sz w:val="26"/>
          <w:szCs w:val="26"/>
        </w:rPr>
      </w:pPr>
      <w:r>
        <w:rPr>
          <w:rStyle w:val="946"/>
          <w:b w:val="0"/>
          <w:sz w:val="26"/>
          <w:szCs w:val="26"/>
        </w:rPr>
        <w:t xml:space="preserve">Заключение электронного договора осуществляется в разделе «Договоры», подраздел «Заключение договоров в ГИС Торги».</w:t>
      </w:r>
      <w:r>
        <w:rPr>
          <w:rStyle w:val="946"/>
          <w:b w:val="0"/>
          <w:sz w:val="26"/>
          <w:szCs w:val="26"/>
        </w:rPr>
      </w:r>
      <w:r>
        <w:rPr>
          <w:rStyle w:val="946"/>
          <w:b w:val="0"/>
          <w:sz w:val="26"/>
          <w:szCs w:val="26"/>
        </w:rPr>
      </w:r>
    </w:p>
    <w:p>
      <w:pPr>
        <w:ind w:right="-23" w:firstLine="709"/>
        <w:jc w:val="both"/>
        <w:shd w:val="clear" w:color="auto" w:fill="ffffff"/>
        <w:tabs>
          <w:tab w:val="left" w:pos="993" w:leader="none"/>
        </w:tabs>
        <w:rPr>
          <w:sz w:val="26"/>
          <w:szCs w:val="26"/>
        </w:rPr>
      </w:pPr>
      <w:r>
        <w:rPr>
          <w:rStyle w:val="946"/>
          <w:sz w:val="26"/>
          <w:szCs w:val="26"/>
        </w:rPr>
        <w:t xml:space="preserve">Начальная цена предмета аукциона: </w:t>
      </w:r>
      <w:r>
        <w:rPr>
          <w:rStyle w:val="946"/>
          <w:b w:val="0"/>
          <w:sz w:val="26"/>
          <w:szCs w:val="26"/>
        </w:rPr>
        <w:t xml:space="preserve">153 000 (сто пятьдесят три тысячи) рублей 00 копеек</w:t>
      </w:r>
      <w:r>
        <w:rPr>
          <w:sz w:val="26"/>
          <w:szCs w:val="26"/>
        </w:rPr>
        <w:t xml:space="preserve">.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ind w:right="-23" w:firstLine="709"/>
        <w:jc w:val="both"/>
        <w:shd w:val="clear" w:color="auto" w:fill="ffffff"/>
        <w:tabs>
          <w:tab w:val="left" w:pos="993" w:leader="none"/>
        </w:tabs>
        <w:rPr>
          <w:sz w:val="26"/>
          <w:szCs w:val="26"/>
        </w:rPr>
      </w:pPr>
      <w:r>
        <w:rPr>
          <w:b/>
          <w:sz w:val="26"/>
          <w:szCs w:val="26"/>
        </w:rPr>
        <w:t xml:space="preserve">Шаг аукциона: </w:t>
      </w:r>
      <w:r>
        <w:rPr>
          <w:sz w:val="26"/>
          <w:szCs w:val="26"/>
        </w:rPr>
        <w:t xml:space="preserve">7 650 (семь тысяч шестьсот пятьдесят) рублей 00 копеек.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ind w:firstLine="709"/>
        <w:jc w:val="both"/>
        <w:rPr>
          <w:sz w:val="26"/>
          <w:szCs w:val="26"/>
        </w:rPr>
        <w:outlineLvl w:val="0"/>
      </w:pPr>
      <w:r>
        <w:rPr>
          <w:b/>
          <w:sz w:val="26"/>
          <w:szCs w:val="26"/>
        </w:rPr>
        <w:t xml:space="preserve">Параметры разрешенного строительства объекта капитального строительства:</w:t>
      </w:r>
      <w:r>
        <w:rPr>
          <w:sz w:val="26"/>
          <w:szCs w:val="26"/>
        </w:rPr>
        <w:t xml:space="preserve"> в соответствии с Правилами землепользования и застройки </w:t>
      </w:r>
      <w:r>
        <w:rPr>
          <w:sz w:val="26"/>
          <w:szCs w:val="26"/>
        </w:rPr>
        <w:t xml:space="preserve">Быстровского</w:t>
      </w:r>
      <w:r>
        <w:rPr>
          <w:sz w:val="26"/>
          <w:szCs w:val="26"/>
        </w:rPr>
        <w:t xml:space="preserve"> сельсовета Искитимского района Новосибирской области утвержденными приказом министерства строительства Новосибирской области 02.06.2017 № 185 (ред. от 26.01.2026):</w:t>
      </w:r>
      <w:r>
        <w:rPr>
          <w:sz w:val="26"/>
          <w:szCs w:val="26"/>
        </w:rPr>
      </w:r>
      <w:r>
        <w:rPr>
          <w:sz w:val="26"/>
          <w:szCs w:val="26"/>
        </w:rPr>
      </w:r>
    </w:p>
    <w:tbl>
      <w:tblPr>
        <w:tblW w:w="5000" w:type="pct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724"/>
        <w:gridCol w:w="741"/>
        <w:gridCol w:w="782"/>
        <w:gridCol w:w="1794"/>
        <w:gridCol w:w="651"/>
        <w:gridCol w:w="651"/>
        <w:gridCol w:w="1142"/>
        <w:gridCol w:w="1142"/>
      </w:tblGrid>
      <w:tr>
        <w:tblPrEx/>
        <w:trPr>
          <w:tblHeader/>
        </w:trPr>
        <w:tc>
          <w:tcPr>
            <w:tcW w:w="1415" w:type="pct"/>
            <w:vAlign w:val="center"/>
            <w:vMerge w:val="restart"/>
            <w:textDirection w:val="lrTb"/>
            <w:noWrap w:val="false"/>
          </w:tcPr>
          <w:p>
            <w:pPr>
              <w:jc w:val="center"/>
            </w:pPr>
            <w:r>
              <w:t xml:space="preserve">Наименование территориальная зона/вида разрешенного</w:t>
            </w:r>
            <w:r/>
          </w:p>
          <w:p>
            <w:pPr>
              <w:jc w:val="center"/>
            </w:pPr>
            <w:r>
              <w:t xml:space="preserve">использования (код вида)</w:t>
            </w:r>
            <w:r/>
          </w:p>
        </w:tc>
        <w:tc>
          <w:tcPr>
            <w:gridSpan w:val="7"/>
            <w:shd w:val="clear" w:color="auto" w:fill="ffffff"/>
            <w:tcW w:w="3585" w:type="pct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Предельные (минимальные и (или) максимальные) размеры земельных участков и предельные параметры разрешенного строительства, реконструкции объектов капитального строительства</w:t>
            </w:r>
            <w:r/>
          </w:p>
        </w:tc>
      </w:tr>
      <w:tr>
        <w:tblPrEx/>
        <w:trPr>
          <w:tblHeader/>
        </w:trPr>
        <w:tc>
          <w:tcPr>
            <w:tcW w:w="1415" w:type="pct"/>
            <w:vAlign w:val="center"/>
            <w:vMerge w:val="continue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shd w:val="clear" w:color="auto" w:fill="ffffff"/>
            <w:tcW w:w="385" w:type="pct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S </w:t>
            </w:r>
            <w:r>
              <w:t xml:space="preserve">min</w:t>
            </w:r>
            <w:r>
              <w:t xml:space="preserve">, (га)</w:t>
            </w:r>
            <w:r/>
          </w:p>
        </w:tc>
        <w:tc>
          <w:tcPr>
            <w:shd w:val="clear" w:color="auto" w:fill="ffffff"/>
            <w:tcW w:w="406" w:type="pct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S </w:t>
            </w:r>
            <w:r>
              <w:t xml:space="preserve">max</w:t>
            </w:r>
            <w:r>
              <w:t xml:space="preserve">, (га)</w:t>
            </w:r>
            <w:r/>
          </w:p>
        </w:tc>
        <w:tc>
          <w:tcPr>
            <w:shd w:val="clear" w:color="auto" w:fill="ffffff"/>
            <w:tcW w:w="932" w:type="pct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Отступ  </w:t>
            </w:r>
            <w:r>
              <w:t xml:space="preserve">min</w:t>
            </w:r>
            <w:r>
              <w:t xml:space="preserve">, (м)</w:t>
            </w:r>
            <w:r/>
          </w:p>
        </w:tc>
        <w:tc>
          <w:tcPr>
            <w:shd w:val="clear" w:color="auto" w:fill="ffffff"/>
            <w:tcW w:w="338" w:type="pct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Этаж </w:t>
            </w:r>
            <w:r>
              <w:t xml:space="preserve">min</w:t>
            </w:r>
            <w:r/>
          </w:p>
        </w:tc>
        <w:tc>
          <w:tcPr>
            <w:shd w:val="clear" w:color="auto" w:fill="ffffff"/>
            <w:tcW w:w="338" w:type="pct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Этаж </w:t>
            </w:r>
            <w:r>
              <w:t xml:space="preserve">max</w:t>
            </w:r>
            <w:r/>
          </w:p>
        </w:tc>
        <w:tc>
          <w:tcPr>
            <w:shd w:val="clear" w:color="auto" w:fill="ffffff"/>
            <w:tcW w:w="593" w:type="pct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Процент застройки </w:t>
            </w:r>
            <w:r>
              <w:t xml:space="preserve">min</w:t>
            </w:r>
            <w:r>
              <w:t xml:space="preserve">, (%)</w:t>
            </w:r>
            <w:r/>
          </w:p>
        </w:tc>
        <w:tc>
          <w:tcPr>
            <w:shd w:val="clear" w:color="auto" w:fill="ffffff"/>
            <w:tcW w:w="593" w:type="pct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Процент застройки </w:t>
            </w:r>
            <w:r>
              <w:t xml:space="preserve">max</w:t>
            </w:r>
            <w:r>
              <w:t xml:space="preserve">, (%)</w:t>
            </w:r>
            <w:r/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</w:tblPrEx>
        <w:trPr>
          <w:trHeight w:val="45"/>
        </w:trPr>
        <w:tc>
          <w:tcPr>
            <w:tcW w:w="1415" w:type="pct"/>
            <w:textDirection w:val="lrTb"/>
            <w:noWrap w:val="false"/>
          </w:tcPr>
          <w:p>
            <w:pPr>
              <w:pStyle w:val="969"/>
            </w:pPr>
            <w:r>
              <w:rPr>
                <w:color w:val="auto"/>
              </w:rPr>
              <w:t xml:space="preserve">Для ведения личного подсобного хозяйства (приусадебный земельный участок) (2.2)</w:t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bottom w:val="single" w:color="auto" w:sz="4" w:space="0"/>
            </w:tcBorders>
            <w:tcW w:w="385" w:type="pct"/>
            <w:vAlign w:val="center"/>
            <w:textDirection w:val="lrTb"/>
            <w:noWrap w:val="false"/>
          </w:tcPr>
          <w:p>
            <w:pPr>
              <w:pStyle w:val="96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0,03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bottom w:val="single" w:color="auto" w:sz="4" w:space="0"/>
            </w:tcBorders>
            <w:tcW w:w="406" w:type="pct"/>
            <w:vAlign w:val="center"/>
            <w:textDirection w:val="lrTb"/>
            <w:noWrap w:val="false"/>
          </w:tcPr>
          <w:p>
            <w:pPr>
              <w:pStyle w:val="96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0,3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</w:tcBorders>
            <w:tcW w:w="932" w:type="pct"/>
            <w:vAlign w:val="center"/>
            <w:textDirection w:val="lrTb"/>
            <w:noWrap w:val="false"/>
          </w:tcPr>
          <w:p>
            <w:pPr>
              <w:pStyle w:val="96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</w:t>
            </w:r>
            <w:r>
              <w:rPr>
                <w:rStyle w:val="972"/>
                <w:sz w:val="24"/>
              </w:rPr>
              <w:footnoteReference w:id="2"/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  <w:p>
            <w:pPr>
              <w:pStyle w:val="96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3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</w:tcBorders>
            <w:tcW w:w="338" w:type="pct"/>
            <w:vAlign w:val="center"/>
            <w:textDirection w:val="lrTb"/>
            <w:noWrap w:val="false"/>
          </w:tcPr>
          <w:p>
            <w:pPr>
              <w:pStyle w:val="96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</w:tcBorders>
            <w:tcW w:w="338" w:type="pct"/>
            <w:vAlign w:val="center"/>
            <w:textDirection w:val="lrTb"/>
            <w:noWrap w:val="false"/>
          </w:tcPr>
          <w:p>
            <w:pPr>
              <w:pStyle w:val="96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3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Borders>
              <w:top w:val="single" w:color="auto" w:sz="4" w:space="0"/>
            </w:tcBorders>
            <w:tcW w:w="593" w:type="pct"/>
            <w:vAlign w:val="center"/>
            <w:textDirection w:val="lrTb"/>
            <w:noWrap w:val="false"/>
          </w:tcPr>
          <w:p>
            <w:pPr>
              <w:pStyle w:val="96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</w:tcBorders>
            <w:tcW w:w="593" w:type="pct"/>
            <w:vAlign w:val="center"/>
            <w:textDirection w:val="lrTb"/>
            <w:noWrap w:val="false"/>
          </w:tcPr>
          <w:p>
            <w:pPr>
              <w:pStyle w:val="96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25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</w:tr>
    </w:tbl>
    <w:p>
      <w:pPr>
        <w:ind w:firstLine="709"/>
        <w:jc w:val="both"/>
        <w:rPr>
          <w:bCs/>
          <w:sz w:val="26"/>
          <w:szCs w:val="26"/>
        </w:rPr>
        <w:outlineLvl w:val="0"/>
      </w:pPr>
      <w:r>
        <w:rPr>
          <w:b/>
          <w:bCs/>
          <w:sz w:val="26"/>
          <w:szCs w:val="26"/>
        </w:rPr>
        <w:t xml:space="preserve">Информация о возможности подключения (технологического присоединения) объектов капитального строительства к сетям инженерно-технического обеспечения (за исключением сетей электроснабжения):</w:t>
      </w:r>
      <w:r>
        <w:rPr>
          <w:bCs/>
          <w:sz w:val="26"/>
          <w:szCs w:val="26"/>
        </w:rPr>
      </w:r>
      <w:r>
        <w:rPr>
          <w:bCs/>
          <w:sz w:val="26"/>
          <w:szCs w:val="26"/>
        </w:rPr>
      </w:r>
    </w:p>
    <w:p>
      <w:pPr>
        <w:ind w:firstLine="709"/>
        <w:jc w:val="both"/>
        <w:rPr>
          <w:bCs/>
          <w:sz w:val="26"/>
          <w:szCs w:val="26"/>
        </w:rPr>
        <w:outlineLvl w:val="0"/>
      </w:pPr>
      <w:r>
        <w:rPr>
          <w:bCs/>
          <w:sz w:val="26"/>
          <w:szCs w:val="26"/>
        </w:rPr>
        <w:t xml:space="preserve">Сети водоснабжения (холодное) – возможность подключения отсутствует.</w:t>
      </w:r>
      <w:r>
        <w:rPr>
          <w:bCs/>
          <w:sz w:val="26"/>
          <w:szCs w:val="26"/>
        </w:rPr>
      </w:r>
      <w:r>
        <w:rPr>
          <w:bCs/>
          <w:sz w:val="26"/>
          <w:szCs w:val="26"/>
        </w:rPr>
      </w:r>
    </w:p>
    <w:p>
      <w:pPr>
        <w:ind w:firstLine="709"/>
        <w:jc w:val="both"/>
        <w:rPr>
          <w:bCs/>
          <w:sz w:val="26"/>
          <w:szCs w:val="26"/>
        </w:rPr>
        <w:outlineLvl w:val="0"/>
      </w:pPr>
      <w:r>
        <w:rPr>
          <w:bCs/>
          <w:sz w:val="26"/>
          <w:szCs w:val="26"/>
        </w:rPr>
        <w:t xml:space="preserve">Сети водоотведения – возможность подключения отсутствует.</w:t>
      </w:r>
      <w:r>
        <w:rPr>
          <w:bCs/>
          <w:sz w:val="26"/>
          <w:szCs w:val="26"/>
        </w:rPr>
      </w:r>
      <w:r>
        <w:rPr>
          <w:bCs/>
          <w:sz w:val="26"/>
          <w:szCs w:val="26"/>
        </w:rPr>
      </w:r>
    </w:p>
    <w:p>
      <w:pPr>
        <w:ind w:firstLine="709"/>
        <w:jc w:val="both"/>
        <w:rPr>
          <w:bCs/>
          <w:sz w:val="26"/>
          <w:szCs w:val="26"/>
        </w:rPr>
        <w:outlineLvl w:val="0"/>
      </w:pPr>
      <w:r>
        <w:rPr>
          <w:bCs/>
          <w:sz w:val="26"/>
          <w:szCs w:val="26"/>
        </w:rPr>
        <w:t xml:space="preserve">Сети теплоснабжения – возможность подключения отсутствует.</w:t>
      </w:r>
      <w:r>
        <w:rPr>
          <w:bCs/>
          <w:sz w:val="26"/>
          <w:szCs w:val="26"/>
        </w:rPr>
      </w:r>
      <w:r>
        <w:rPr>
          <w:bCs/>
          <w:sz w:val="26"/>
          <w:szCs w:val="26"/>
        </w:rPr>
      </w:r>
    </w:p>
    <w:p>
      <w:pPr>
        <w:ind w:firstLine="709"/>
        <w:jc w:val="both"/>
        <w:rPr>
          <w:bCs/>
          <w:sz w:val="26"/>
          <w:szCs w:val="26"/>
        </w:rPr>
        <w:outlineLvl w:val="0"/>
      </w:pPr>
      <w:r>
        <w:rPr>
          <w:bCs/>
          <w:sz w:val="26"/>
          <w:szCs w:val="26"/>
        </w:rPr>
        <w:t xml:space="preserve">Газоснабжение – подключение возможно.</w:t>
      </w:r>
      <w:r>
        <w:rPr>
          <w:bCs/>
          <w:sz w:val="26"/>
          <w:szCs w:val="26"/>
        </w:rPr>
      </w:r>
      <w:r>
        <w:rPr>
          <w:bCs/>
          <w:sz w:val="26"/>
          <w:szCs w:val="26"/>
        </w:rPr>
      </w:r>
    </w:p>
    <w:p>
      <w:pPr>
        <w:ind w:firstLine="709"/>
        <w:jc w:val="both"/>
        <w:rPr>
          <w:bCs/>
          <w:sz w:val="26"/>
          <w:szCs w:val="26"/>
        </w:rPr>
        <w:outlineLvl w:val="0"/>
      </w:pPr>
      <w:r>
        <w:rPr>
          <w:bCs/>
          <w:sz w:val="26"/>
          <w:szCs w:val="26"/>
        </w:rPr>
        <w:t xml:space="preserve">Связь – подключение возможно к сетям ПАО «Ростелеком».</w:t>
      </w:r>
      <w:r>
        <w:rPr>
          <w:bCs/>
          <w:sz w:val="26"/>
          <w:szCs w:val="26"/>
        </w:rPr>
      </w:r>
      <w:r>
        <w:rPr>
          <w:bCs/>
          <w:sz w:val="26"/>
          <w:szCs w:val="26"/>
        </w:rPr>
      </w:r>
    </w:p>
    <w:p>
      <w:pPr>
        <w:ind w:right="-22" w:firstLine="709"/>
        <w:jc w:val="both"/>
        <w:keepNext/>
        <w:shd w:val="clear" w:color="auto" w:fill="ffffff"/>
        <w:tabs>
          <w:tab w:val="left" w:pos="993" w:leader="none"/>
        </w:tabs>
        <w:rPr>
          <w:rStyle w:val="946"/>
          <w:b w:val="0"/>
          <w:sz w:val="26"/>
          <w:szCs w:val="26"/>
        </w:rPr>
      </w:pPr>
      <w:r>
        <w:rPr>
          <w:rStyle w:val="946"/>
          <w:sz w:val="26"/>
          <w:szCs w:val="26"/>
        </w:rPr>
        <w:t xml:space="preserve">Порядок, адрес, дата и время начала и окончания приема заявок на участие в аукционе:</w:t>
      </w:r>
      <w:r>
        <w:rPr>
          <w:rStyle w:val="946"/>
          <w:b w:val="0"/>
          <w:sz w:val="26"/>
          <w:szCs w:val="26"/>
        </w:rPr>
        <w:t xml:space="preserve"> </w:t>
      </w:r>
      <w:r>
        <w:rPr>
          <w:rStyle w:val="946"/>
          <w:b w:val="0"/>
          <w:sz w:val="26"/>
          <w:szCs w:val="26"/>
        </w:rPr>
      </w:r>
      <w:r>
        <w:rPr>
          <w:rStyle w:val="946"/>
          <w:b w:val="0"/>
          <w:sz w:val="26"/>
          <w:szCs w:val="26"/>
        </w:rPr>
      </w:r>
    </w:p>
    <w:p>
      <w:pPr>
        <w:ind w:firstLine="709"/>
        <w:jc w:val="both"/>
        <w:rPr>
          <w:rStyle w:val="946"/>
          <w:b w:val="0"/>
          <w:sz w:val="26"/>
          <w:szCs w:val="26"/>
        </w:rPr>
      </w:pPr>
      <w:r>
        <w:rPr>
          <w:rStyle w:val="946"/>
          <w:b w:val="0"/>
          <w:sz w:val="26"/>
          <w:szCs w:val="26"/>
        </w:rPr>
        <w:t xml:space="preserve">Один заявитель вправе подать только одну заявку на участие в аукционе.</w:t>
      </w:r>
      <w:r>
        <w:rPr>
          <w:rStyle w:val="946"/>
          <w:b w:val="0"/>
          <w:sz w:val="26"/>
          <w:szCs w:val="26"/>
        </w:rPr>
      </w:r>
      <w:r>
        <w:rPr>
          <w:rStyle w:val="946"/>
          <w:b w:val="0"/>
          <w:sz w:val="26"/>
          <w:szCs w:val="26"/>
        </w:rPr>
      </w:r>
    </w:p>
    <w:p>
      <w:pPr>
        <w:ind w:firstLine="709"/>
        <w:jc w:val="both"/>
        <w:rPr>
          <w:rStyle w:val="946"/>
          <w:b w:val="0"/>
          <w:sz w:val="26"/>
          <w:szCs w:val="26"/>
        </w:rPr>
      </w:pPr>
      <w:r>
        <w:rPr>
          <w:rStyle w:val="946"/>
          <w:b w:val="0"/>
          <w:sz w:val="26"/>
          <w:szCs w:val="26"/>
        </w:rPr>
        <w:t xml:space="preserve">Форма заявки на участие в аукционе приведена в приложении к настоящему извещению.</w:t>
      </w:r>
      <w:r>
        <w:rPr>
          <w:rStyle w:val="946"/>
          <w:b w:val="0"/>
          <w:sz w:val="26"/>
          <w:szCs w:val="26"/>
        </w:rPr>
      </w:r>
      <w:r>
        <w:rPr>
          <w:rStyle w:val="946"/>
          <w:b w:val="0"/>
          <w:sz w:val="26"/>
          <w:szCs w:val="26"/>
        </w:rPr>
      </w:r>
    </w:p>
    <w:p>
      <w:pPr>
        <w:ind w:firstLine="709"/>
        <w:jc w:val="both"/>
        <w:rPr>
          <w:rStyle w:val="946"/>
          <w:b w:val="0"/>
          <w:sz w:val="26"/>
          <w:szCs w:val="26"/>
        </w:rPr>
      </w:pPr>
      <w:r>
        <w:rPr>
          <w:rStyle w:val="946"/>
          <w:sz w:val="26"/>
          <w:szCs w:val="26"/>
        </w:rPr>
        <w:t xml:space="preserve">Место приема заявок на участие в аукционе</w:t>
      </w:r>
      <w:r>
        <w:rPr>
          <w:rStyle w:val="946"/>
          <w:b w:val="0"/>
          <w:sz w:val="26"/>
          <w:szCs w:val="26"/>
        </w:rPr>
        <w:t xml:space="preserve">: электронная площадка </w:t>
      </w:r>
      <w:r>
        <w:rPr>
          <w:color w:val="0000ff"/>
          <w:sz w:val="26"/>
          <w:szCs w:val="26"/>
        </w:rPr>
        <w:t xml:space="preserve">https://www.rts-tender.ru/property-sales</w:t>
      </w:r>
      <w:r>
        <w:rPr>
          <w:sz w:val="26"/>
          <w:szCs w:val="26"/>
        </w:rPr>
        <w:t xml:space="preserve">.</w:t>
      </w:r>
      <w:r>
        <w:rPr>
          <w:rStyle w:val="946"/>
          <w:b w:val="0"/>
          <w:sz w:val="26"/>
          <w:szCs w:val="26"/>
        </w:rPr>
        <w:t xml:space="preserve"> </w:t>
      </w:r>
      <w:r>
        <w:rPr>
          <w:rStyle w:val="946"/>
          <w:b w:val="0"/>
          <w:sz w:val="26"/>
          <w:szCs w:val="26"/>
        </w:rPr>
      </w:r>
      <w:r>
        <w:rPr>
          <w:rStyle w:val="946"/>
          <w:b w:val="0"/>
          <w:sz w:val="26"/>
          <w:szCs w:val="26"/>
        </w:rPr>
      </w:r>
    </w:p>
    <w:p>
      <w:pPr>
        <w:ind w:firstLine="709"/>
        <w:jc w:val="both"/>
        <w:rPr>
          <w:rStyle w:val="946"/>
          <w:b w:val="0"/>
          <w:sz w:val="26"/>
          <w:szCs w:val="26"/>
        </w:rPr>
      </w:pPr>
      <w:r>
        <w:rPr>
          <w:rStyle w:val="946"/>
          <w:sz w:val="26"/>
          <w:szCs w:val="26"/>
        </w:rPr>
        <w:t xml:space="preserve">Дата и время начала приема заявок:</w:t>
      </w:r>
      <w:r>
        <w:rPr>
          <w:rStyle w:val="946"/>
          <w:b w:val="0"/>
          <w:sz w:val="26"/>
          <w:szCs w:val="26"/>
        </w:rPr>
        <w:t xml:space="preserve"> </w:t>
      </w:r>
      <w:r>
        <w:rPr>
          <w:rStyle w:val="946"/>
          <w:b w:val="0"/>
          <w:sz w:val="26"/>
          <w:szCs w:val="26"/>
        </w:rPr>
        <w:t xml:space="preserve">07 августа 2026</w:t>
      </w:r>
      <w:r>
        <w:rPr>
          <w:rStyle w:val="946"/>
          <w:b w:val="0"/>
          <w:sz w:val="26"/>
          <w:szCs w:val="26"/>
        </w:rPr>
        <w:t xml:space="preserve"> года в 00-00 по местному времени. Прием заявок осуществляется круглосуточно.</w:t>
      </w:r>
      <w:r>
        <w:rPr>
          <w:rStyle w:val="946"/>
          <w:b w:val="0"/>
          <w:sz w:val="26"/>
          <w:szCs w:val="26"/>
        </w:rPr>
      </w:r>
      <w:r>
        <w:rPr>
          <w:rStyle w:val="946"/>
          <w:b w:val="0"/>
          <w:sz w:val="26"/>
          <w:szCs w:val="26"/>
        </w:rPr>
      </w:r>
    </w:p>
    <w:p>
      <w:pPr>
        <w:ind w:firstLine="709"/>
        <w:jc w:val="both"/>
        <w:rPr>
          <w:rStyle w:val="946"/>
          <w:b w:val="0"/>
          <w:sz w:val="26"/>
          <w:szCs w:val="26"/>
        </w:rPr>
      </w:pPr>
      <w:r>
        <w:rPr>
          <w:rStyle w:val="946"/>
          <w:sz w:val="26"/>
          <w:szCs w:val="26"/>
        </w:rPr>
        <w:t xml:space="preserve">Дата и время окончания приема заявок:</w:t>
      </w:r>
      <w:r>
        <w:rPr>
          <w:rStyle w:val="946"/>
          <w:b w:val="0"/>
          <w:sz w:val="26"/>
          <w:szCs w:val="26"/>
        </w:rPr>
        <w:t xml:space="preserve"> 25 августа 2026 года в 23-00 по местному времени.</w:t>
      </w:r>
      <w:r>
        <w:rPr>
          <w:rStyle w:val="946"/>
          <w:b w:val="0"/>
          <w:sz w:val="26"/>
          <w:szCs w:val="26"/>
        </w:rPr>
      </w:r>
      <w:r>
        <w:rPr>
          <w:rStyle w:val="946"/>
          <w:b w:val="0"/>
          <w:sz w:val="26"/>
          <w:szCs w:val="26"/>
        </w:rPr>
      </w:r>
    </w:p>
    <w:p>
      <w:pPr>
        <w:ind w:firstLine="709"/>
        <w:jc w:val="both"/>
        <w:rPr>
          <w:rStyle w:val="946"/>
          <w:b w:val="0"/>
          <w:sz w:val="26"/>
          <w:szCs w:val="26"/>
        </w:rPr>
      </w:pPr>
      <w:r>
        <w:rPr>
          <w:b/>
          <w:bCs/>
          <w:sz w:val="26"/>
          <w:szCs w:val="26"/>
        </w:rPr>
        <w:t xml:space="preserve">Дата </w:t>
      </w:r>
      <w:r>
        <w:rPr>
          <w:rStyle w:val="946"/>
          <w:sz w:val="26"/>
          <w:szCs w:val="26"/>
        </w:rPr>
        <w:t xml:space="preserve">определения участников аукциона:</w:t>
      </w:r>
      <w:r>
        <w:rPr>
          <w:rStyle w:val="946"/>
          <w:b w:val="0"/>
          <w:sz w:val="26"/>
          <w:szCs w:val="26"/>
        </w:rPr>
        <w:t xml:space="preserve"> </w:t>
      </w:r>
      <w:r>
        <w:rPr>
          <w:sz w:val="26"/>
          <w:szCs w:val="26"/>
        </w:rPr>
        <w:t xml:space="preserve">27 августа 2026 года.</w:t>
      </w:r>
      <w:r>
        <w:rPr>
          <w:rStyle w:val="946"/>
          <w:b w:val="0"/>
          <w:sz w:val="26"/>
          <w:szCs w:val="26"/>
        </w:rPr>
      </w:r>
      <w:r>
        <w:rPr>
          <w:rStyle w:val="946"/>
          <w:b w:val="0"/>
          <w:sz w:val="26"/>
          <w:szCs w:val="26"/>
        </w:rPr>
      </w:r>
    </w:p>
    <w:p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Организатор аукциона рассматривает заявки и устанавливает факт поступления от заявителей задатков. По результатам рассмотрения документов организатор аукциона принимает реше</w:t>
      </w:r>
      <w:r>
        <w:rPr>
          <w:sz w:val="26"/>
          <w:szCs w:val="26"/>
        </w:rPr>
        <w:t xml:space="preserve">ние о признании заявителей участниками аукциона или об отказе в допуске заявителей к участию в аукционе, которое оформляется протоколом. Заявитель приобретает статус участника аукциона с даты подписания организатором аукциона протокола рассмотрения заявок.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ind w:firstLine="709"/>
        <w:jc w:val="both"/>
        <w:keepNext/>
        <w:rPr>
          <w:rStyle w:val="946"/>
          <w:b w:val="0"/>
          <w:sz w:val="26"/>
          <w:szCs w:val="26"/>
        </w:rPr>
      </w:pPr>
      <w:r>
        <w:rPr>
          <w:b/>
          <w:sz w:val="26"/>
          <w:szCs w:val="26"/>
        </w:rPr>
        <w:t xml:space="preserve">Дата, время и место проведения аукциона: </w:t>
      </w:r>
      <w:r>
        <w:rPr>
          <w:rStyle w:val="946"/>
          <w:b w:val="0"/>
          <w:sz w:val="26"/>
          <w:szCs w:val="26"/>
        </w:rPr>
        <w:t xml:space="preserve">31 августа 2026 года в 10:00 по местному времени электронная площадка </w:t>
      </w:r>
      <w:r>
        <w:rPr>
          <w:color w:val="0000ff"/>
          <w:sz w:val="26"/>
          <w:szCs w:val="26"/>
        </w:rPr>
        <w:t xml:space="preserve">https://www.rts-tender.ru/property-sales.</w:t>
      </w:r>
      <w:r>
        <w:rPr>
          <w:rStyle w:val="946"/>
          <w:b w:val="0"/>
          <w:sz w:val="26"/>
          <w:szCs w:val="26"/>
        </w:rPr>
        <w:t xml:space="preserve"> </w:t>
      </w:r>
      <w:r>
        <w:rPr>
          <w:rStyle w:val="946"/>
          <w:b w:val="0"/>
          <w:sz w:val="26"/>
          <w:szCs w:val="26"/>
        </w:rPr>
      </w:r>
      <w:r>
        <w:rPr>
          <w:rStyle w:val="946"/>
          <w:b w:val="0"/>
          <w:sz w:val="26"/>
          <w:szCs w:val="26"/>
        </w:rPr>
      </w:r>
    </w:p>
    <w:p>
      <w:pPr>
        <w:ind w:firstLine="709"/>
        <w:jc w:val="both"/>
        <w:keepNext/>
        <w:rPr>
          <w:rStyle w:val="946"/>
          <w:b w:val="0"/>
          <w:sz w:val="26"/>
          <w:szCs w:val="26"/>
        </w:rPr>
      </w:pPr>
      <w:r>
        <w:rPr>
          <w:rStyle w:val="946"/>
          <w:sz w:val="26"/>
          <w:szCs w:val="26"/>
        </w:rPr>
        <w:t xml:space="preserve">Дата подведения итогов аукциона:</w:t>
      </w:r>
      <w:r>
        <w:rPr>
          <w:rStyle w:val="946"/>
          <w:b w:val="0"/>
          <w:sz w:val="26"/>
          <w:szCs w:val="26"/>
        </w:rPr>
        <w:t xml:space="preserve"> 31 августа 2026 года.</w:t>
      </w:r>
      <w:r>
        <w:rPr>
          <w:rStyle w:val="946"/>
          <w:b w:val="0"/>
          <w:sz w:val="26"/>
          <w:szCs w:val="26"/>
        </w:rPr>
      </w:r>
      <w:r>
        <w:rPr>
          <w:rStyle w:val="946"/>
          <w:b w:val="0"/>
          <w:sz w:val="26"/>
          <w:szCs w:val="26"/>
        </w:rPr>
      </w:r>
    </w:p>
    <w:p>
      <w:pPr>
        <w:ind w:firstLine="709"/>
        <w:jc w:val="both"/>
        <w:keepNext/>
        <w:rPr>
          <w:rStyle w:val="946"/>
          <w:sz w:val="26"/>
          <w:szCs w:val="26"/>
        </w:rPr>
        <w:outlineLvl w:val="0"/>
      </w:pPr>
      <w:r>
        <w:rPr>
          <w:rStyle w:val="946"/>
          <w:sz w:val="26"/>
          <w:szCs w:val="26"/>
        </w:rPr>
        <w:t xml:space="preserve">Перечень документов, представляемых для участия в аукционе: </w:t>
      </w:r>
      <w:r>
        <w:rPr>
          <w:rStyle w:val="946"/>
          <w:sz w:val="26"/>
          <w:szCs w:val="26"/>
        </w:rPr>
      </w:r>
      <w:r>
        <w:rPr>
          <w:rStyle w:val="946"/>
          <w:sz w:val="26"/>
          <w:szCs w:val="26"/>
        </w:rPr>
      </w:r>
    </w:p>
    <w:p>
      <w:pPr>
        <w:numPr>
          <w:ilvl w:val="0"/>
          <w:numId w:val="9"/>
        </w:numPr>
        <w:ind w:left="0" w:firstLine="709"/>
        <w:jc w:val="both"/>
        <w:tabs>
          <w:tab w:val="left" w:pos="0" w:leader="none"/>
          <w:tab w:val="left" w:pos="993" w:leader="none"/>
        </w:tabs>
        <w:rPr>
          <w:rStyle w:val="946"/>
          <w:b w:val="0"/>
          <w:sz w:val="26"/>
          <w:szCs w:val="26"/>
        </w:rPr>
      </w:pPr>
      <w:r>
        <w:rPr>
          <w:rStyle w:val="946"/>
          <w:b w:val="0"/>
          <w:sz w:val="26"/>
          <w:szCs w:val="26"/>
        </w:rPr>
        <w:t xml:space="preserve">заявка на участие в аукционе по установленной в извещении о проведении аукциона форме с указанием банковских реквизитов счета для возврата задатка;</w:t>
      </w:r>
      <w:r>
        <w:rPr>
          <w:rStyle w:val="946"/>
          <w:b w:val="0"/>
          <w:sz w:val="26"/>
          <w:szCs w:val="26"/>
        </w:rPr>
      </w:r>
      <w:r>
        <w:rPr>
          <w:rStyle w:val="946"/>
          <w:b w:val="0"/>
          <w:sz w:val="26"/>
          <w:szCs w:val="26"/>
        </w:rPr>
      </w:r>
    </w:p>
    <w:p>
      <w:pPr>
        <w:numPr>
          <w:ilvl w:val="0"/>
          <w:numId w:val="9"/>
        </w:numPr>
        <w:ind w:left="0" w:firstLine="709"/>
        <w:jc w:val="both"/>
        <w:tabs>
          <w:tab w:val="left" w:pos="0" w:leader="none"/>
          <w:tab w:val="left" w:pos="993" w:leader="none"/>
        </w:tabs>
        <w:rPr>
          <w:rStyle w:val="946"/>
          <w:b w:val="0"/>
          <w:bCs w:val="0"/>
          <w:sz w:val="26"/>
          <w:szCs w:val="26"/>
        </w:rPr>
      </w:pPr>
      <w:r>
        <w:rPr>
          <w:rStyle w:val="946"/>
          <w:b w:val="0"/>
          <w:sz w:val="26"/>
          <w:szCs w:val="26"/>
        </w:rPr>
        <w:t xml:space="preserve">копии документов, удостоверяющих личность заявителя (для граждан);</w:t>
      </w:r>
      <w:r>
        <w:rPr>
          <w:rStyle w:val="946"/>
          <w:b w:val="0"/>
          <w:bCs w:val="0"/>
          <w:sz w:val="26"/>
          <w:szCs w:val="26"/>
        </w:rPr>
      </w:r>
      <w:r>
        <w:rPr>
          <w:rStyle w:val="946"/>
          <w:b w:val="0"/>
          <w:bCs w:val="0"/>
          <w:sz w:val="26"/>
          <w:szCs w:val="26"/>
        </w:rPr>
      </w:r>
    </w:p>
    <w:p>
      <w:pPr>
        <w:numPr>
          <w:ilvl w:val="0"/>
          <w:numId w:val="9"/>
        </w:numPr>
        <w:ind w:left="0" w:firstLine="709"/>
        <w:jc w:val="both"/>
        <w:tabs>
          <w:tab w:val="left" w:pos="0" w:leader="none"/>
          <w:tab w:val="left" w:pos="993" w:leader="none"/>
        </w:tabs>
        <w:rPr>
          <w:rStyle w:val="946"/>
          <w:b w:val="0"/>
          <w:sz w:val="26"/>
          <w:szCs w:val="26"/>
        </w:rPr>
      </w:pPr>
      <w:r>
        <w:rPr>
          <w:rStyle w:val="946"/>
          <w:b w:val="0"/>
          <w:sz w:val="26"/>
          <w:szCs w:val="26"/>
        </w:rPr>
        <w:t xml:space="preserve">документы, подтверждающие внесение задатка.</w:t>
      </w:r>
      <w:r>
        <w:rPr>
          <w:rStyle w:val="946"/>
          <w:b w:val="0"/>
          <w:sz w:val="26"/>
          <w:szCs w:val="26"/>
        </w:rPr>
      </w:r>
      <w:r>
        <w:rPr>
          <w:rStyle w:val="946"/>
          <w:b w:val="0"/>
          <w:sz w:val="26"/>
          <w:szCs w:val="26"/>
        </w:rPr>
      </w:r>
    </w:p>
    <w:p>
      <w:pPr>
        <w:ind w:firstLine="709"/>
        <w:jc w:val="both"/>
        <w:tabs>
          <w:tab w:val="left" w:pos="0" w:leader="none"/>
        </w:tabs>
        <w:rPr>
          <w:rStyle w:val="946"/>
          <w:b w:val="0"/>
          <w:sz w:val="26"/>
          <w:szCs w:val="26"/>
        </w:rPr>
      </w:pPr>
      <w:r>
        <w:rPr>
          <w:rStyle w:val="946"/>
          <w:b w:val="0"/>
          <w:sz w:val="26"/>
          <w:szCs w:val="26"/>
        </w:rPr>
        <w:t xml:space="preserve">В случае участия в аукционе представителя заявителя предъявляется документ, подтверждающий полномочия данного представителя.</w:t>
      </w:r>
      <w:r>
        <w:rPr>
          <w:rStyle w:val="946"/>
          <w:b w:val="0"/>
          <w:sz w:val="26"/>
          <w:szCs w:val="26"/>
        </w:rPr>
      </w:r>
      <w:r>
        <w:rPr>
          <w:rStyle w:val="946"/>
          <w:b w:val="0"/>
          <w:sz w:val="26"/>
          <w:szCs w:val="26"/>
        </w:rPr>
      </w:r>
    </w:p>
    <w:p>
      <w:pPr>
        <w:ind w:right="-22" w:firstLine="709"/>
        <w:jc w:val="both"/>
        <w:shd w:val="clear" w:color="auto" w:fill="ffffff"/>
        <w:rPr>
          <w:rStyle w:val="946"/>
          <w:b w:val="0"/>
          <w:sz w:val="26"/>
          <w:szCs w:val="26"/>
        </w:rPr>
      </w:pPr>
      <w:r>
        <w:rPr>
          <w:rStyle w:val="946"/>
          <w:sz w:val="26"/>
          <w:szCs w:val="26"/>
        </w:rPr>
        <w:t xml:space="preserve">Размер задатка: 153 000 (сто пятьдесят три тысячи)</w:t>
      </w:r>
      <w:r>
        <w:rPr>
          <w:rStyle w:val="946"/>
          <w:b w:val="0"/>
          <w:sz w:val="26"/>
          <w:szCs w:val="26"/>
        </w:rPr>
        <w:t xml:space="preserve"> рублей 00 копеек.</w:t>
      </w:r>
      <w:r>
        <w:rPr>
          <w:rStyle w:val="946"/>
          <w:b w:val="0"/>
          <w:sz w:val="26"/>
          <w:szCs w:val="26"/>
        </w:rPr>
      </w:r>
      <w:r>
        <w:rPr>
          <w:rStyle w:val="946"/>
          <w:b w:val="0"/>
          <w:sz w:val="26"/>
          <w:szCs w:val="26"/>
        </w:rPr>
      </w:r>
    </w:p>
    <w:p>
      <w:pPr>
        <w:ind w:right="-22" w:firstLine="709"/>
        <w:jc w:val="both"/>
        <w:shd w:val="clear" w:color="auto" w:fill="ffffff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Порядок внесения задатка участниками аукциона и его возврат:</w:t>
      </w:r>
      <w:r>
        <w:rPr>
          <w:b/>
          <w:bCs/>
          <w:sz w:val="26"/>
          <w:szCs w:val="26"/>
        </w:rPr>
      </w:r>
      <w:r>
        <w:rPr>
          <w:b/>
          <w:bCs/>
          <w:sz w:val="26"/>
          <w:szCs w:val="26"/>
        </w:rPr>
      </w:r>
    </w:p>
    <w:p>
      <w:pPr>
        <w:ind w:firstLine="709"/>
        <w:jc w:val="both"/>
        <w:rPr>
          <w:rStyle w:val="946"/>
          <w:b w:val="0"/>
          <w:sz w:val="26"/>
          <w:szCs w:val="26"/>
        </w:rPr>
        <w:outlineLvl w:val="0"/>
      </w:pPr>
      <w:r>
        <w:rPr>
          <w:rStyle w:val="946"/>
          <w:b w:val="0"/>
          <w:sz w:val="26"/>
          <w:szCs w:val="26"/>
        </w:rPr>
        <w:t xml:space="preserve">Задаток вносится на расчетный счет организатора аукциона. </w:t>
      </w:r>
      <w:r>
        <w:rPr>
          <w:rStyle w:val="946"/>
          <w:b w:val="0"/>
          <w:sz w:val="26"/>
          <w:szCs w:val="26"/>
        </w:rPr>
      </w:r>
      <w:r>
        <w:rPr>
          <w:rStyle w:val="946"/>
          <w:b w:val="0"/>
          <w:sz w:val="26"/>
          <w:szCs w:val="26"/>
        </w:rPr>
      </w:r>
    </w:p>
    <w:p>
      <w:pPr>
        <w:ind w:firstLine="709"/>
        <w:jc w:val="both"/>
        <w:rPr>
          <w:rStyle w:val="946"/>
          <w:b w:val="0"/>
          <w:sz w:val="26"/>
          <w:szCs w:val="26"/>
        </w:rPr>
        <w:outlineLvl w:val="0"/>
      </w:pPr>
      <w:r>
        <w:rPr>
          <w:rStyle w:val="946"/>
          <w:b w:val="0"/>
          <w:sz w:val="26"/>
          <w:szCs w:val="26"/>
        </w:rPr>
        <w:t xml:space="preserve">Департамент имущества и земельных отношений Новосибирской области (л/с 190010013). Получатель: </w:t>
      </w:r>
      <w:r>
        <w:rPr>
          <w:rStyle w:val="946"/>
          <w:b w:val="0"/>
          <w:sz w:val="26"/>
          <w:szCs w:val="26"/>
        </w:rPr>
        <w:t xml:space="preserve">МФиНП</w:t>
      </w:r>
      <w:r>
        <w:rPr>
          <w:rStyle w:val="946"/>
          <w:b w:val="0"/>
          <w:sz w:val="26"/>
          <w:szCs w:val="26"/>
        </w:rPr>
        <w:t xml:space="preserve"> НСО (ДИиЗО НСО, л/с190010013), ИНН 5406214965 / КПП 540601001, </w:t>
      </w:r>
      <w:r>
        <w:rPr>
          <w:rStyle w:val="946"/>
          <w:b w:val="0"/>
          <w:sz w:val="26"/>
          <w:szCs w:val="26"/>
        </w:rPr>
        <w:t xml:space="preserve">ОКЦ № 1 </w:t>
      </w:r>
      <w:r>
        <w:rPr>
          <w:rStyle w:val="946"/>
          <w:b w:val="0"/>
          <w:sz w:val="26"/>
          <w:szCs w:val="26"/>
        </w:rPr>
        <w:t xml:space="preserve">СибГУ</w:t>
      </w:r>
      <w:r>
        <w:rPr>
          <w:rStyle w:val="946"/>
          <w:b w:val="0"/>
          <w:sz w:val="26"/>
          <w:szCs w:val="26"/>
        </w:rPr>
        <w:t xml:space="preserve"> Банка России//УФК по Новосибирской области </w:t>
      </w:r>
      <w:r>
        <w:rPr>
          <w:rStyle w:val="946"/>
          <w:b w:val="0"/>
          <w:sz w:val="26"/>
          <w:szCs w:val="26"/>
        </w:rPr>
        <w:t xml:space="preserve">г.Новосибирск</w:t>
      </w:r>
      <w:r>
        <w:rPr>
          <w:rStyle w:val="946"/>
          <w:b w:val="0"/>
          <w:sz w:val="26"/>
          <w:szCs w:val="26"/>
        </w:rPr>
        <w:t xml:space="preserve">, БИК 015004950, р/с 40102810445370000043, л/с 03222643500000005100, ОКТМО 50701000, КБК 00000000000000000510.</w:t>
      </w:r>
      <w:r>
        <w:rPr>
          <w:rStyle w:val="946"/>
          <w:b w:val="0"/>
          <w:sz w:val="26"/>
          <w:szCs w:val="26"/>
        </w:rPr>
      </w:r>
      <w:r>
        <w:rPr>
          <w:rStyle w:val="946"/>
          <w:b w:val="0"/>
          <w:sz w:val="26"/>
          <w:szCs w:val="26"/>
        </w:rPr>
      </w:r>
    </w:p>
    <w:p>
      <w:pPr>
        <w:ind w:firstLine="709"/>
        <w:jc w:val="both"/>
        <w:rPr>
          <w:rStyle w:val="946"/>
          <w:b w:val="0"/>
          <w:sz w:val="26"/>
          <w:szCs w:val="26"/>
        </w:rPr>
        <w:outlineLvl w:val="0"/>
      </w:pPr>
      <w:r>
        <w:rPr>
          <w:rStyle w:val="946"/>
          <w:b w:val="0"/>
          <w:sz w:val="26"/>
          <w:szCs w:val="26"/>
        </w:rPr>
        <w:t xml:space="preserve">Назначение платежа: задаток для участия в аукционе ДИиЗО НСО, земельный участок с кадастровым номером 54:07:041401:809.</w:t>
      </w:r>
      <w:r>
        <w:rPr>
          <w:rStyle w:val="946"/>
          <w:b w:val="0"/>
          <w:sz w:val="26"/>
          <w:szCs w:val="26"/>
        </w:rPr>
      </w:r>
      <w:r>
        <w:rPr>
          <w:rStyle w:val="946"/>
          <w:b w:val="0"/>
          <w:sz w:val="26"/>
          <w:szCs w:val="26"/>
        </w:rPr>
      </w:r>
    </w:p>
    <w:p>
      <w:pPr>
        <w:ind w:firstLine="709"/>
        <w:jc w:val="both"/>
        <w:rPr>
          <w:rStyle w:val="946"/>
          <w:b w:val="0"/>
          <w:sz w:val="26"/>
          <w:szCs w:val="26"/>
        </w:rPr>
        <w:outlineLvl w:val="0"/>
      </w:pPr>
      <w:r>
        <w:rPr>
          <w:rStyle w:val="946"/>
          <w:b w:val="0"/>
          <w:sz w:val="26"/>
          <w:szCs w:val="26"/>
        </w:rPr>
        <w:t xml:space="preserve">Представление документов, подтверждающих внесение задатка, признается заключением соглашения о задатке, включающего сроки и порядок возврата задатка, предусмотренные статьей 39.12 Земельного кодекса Российской Федерации.</w:t>
      </w:r>
      <w:r>
        <w:rPr>
          <w:rStyle w:val="946"/>
          <w:b w:val="0"/>
          <w:sz w:val="26"/>
          <w:szCs w:val="26"/>
        </w:rPr>
      </w:r>
      <w:r>
        <w:rPr>
          <w:rStyle w:val="946"/>
          <w:b w:val="0"/>
          <w:sz w:val="26"/>
          <w:szCs w:val="26"/>
        </w:rPr>
      </w:r>
    </w:p>
    <w:p>
      <w:pPr>
        <w:ind w:firstLine="709"/>
        <w:jc w:val="both"/>
        <w:rPr>
          <w:rStyle w:val="946"/>
          <w:b w:val="0"/>
          <w:sz w:val="26"/>
          <w:szCs w:val="26"/>
        </w:rPr>
        <w:outlineLvl w:val="0"/>
      </w:pPr>
      <w:r>
        <w:rPr>
          <w:rStyle w:val="946"/>
          <w:b w:val="0"/>
          <w:sz w:val="26"/>
          <w:szCs w:val="26"/>
        </w:rPr>
        <w:t xml:space="preserve">Возврат задатка производится организатором аукциона по реквизитам, указанным в заявке на участие в аукционе, в следующих случаях:</w:t>
      </w:r>
      <w:r>
        <w:rPr>
          <w:rStyle w:val="946"/>
          <w:b w:val="0"/>
          <w:sz w:val="26"/>
          <w:szCs w:val="26"/>
        </w:rPr>
      </w:r>
      <w:r>
        <w:rPr>
          <w:rStyle w:val="946"/>
          <w:b w:val="0"/>
          <w:sz w:val="26"/>
          <w:szCs w:val="26"/>
        </w:rPr>
      </w:r>
    </w:p>
    <w:p>
      <w:pPr>
        <w:ind w:firstLine="709"/>
        <w:jc w:val="both"/>
        <w:rPr>
          <w:rStyle w:val="946"/>
          <w:b w:val="0"/>
          <w:sz w:val="26"/>
          <w:szCs w:val="26"/>
        </w:rPr>
        <w:outlineLvl w:val="0"/>
      </w:pPr>
      <w:r>
        <w:rPr>
          <w:rStyle w:val="946"/>
          <w:b w:val="0"/>
          <w:sz w:val="26"/>
          <w:szCs w:val="26"/>
        </w:rPr>
        <w:t xml:space="preserve">в случае, если заявитель отозвал заявку на участие</w:t>
      </w:r>
      <w:r>
        <w:rPr>
          <w:rStyle w:val="946"/>
          <w:b w:val="0"/>
          <w:sz w:val="26"/>
          <w:szCs w:val="26"/>
        </w:rPr>
        <w:t xml:space="preserve"> в аукционе до дня окончания срока приема заявок, – в течение трех рабочих дней со дня поступления уведомления об отзыве заявки. В случае отзыва заявки заявителем позднее дня окончания срока приема заявок – в порядке, установленном для участников аукциона;</w:t>
      </w:r>
      <w:r>
        <w:rPr>
          <w:rStyle w:val="946"/>
          <w:b w:val="0"/>
          <w:sz w:val="26"/>
          <w:szCs w:val="26"/>
        </w:rPr>
      </w:r>
      <w:r>
        <w:rPr>
          <w:rStyle w:val="946"/>
          <w:b w:val="0"/>
          <w:sz w:val="26"/>
          <w:szCs w:val="26"/>
        </w:rPr>
      </w:r>
    </w:p>
    <w:p>
      <w:pPr>
        <w:ind w:firstLine="709"/>
        <w:jc w:val="both"/>
        <w:rPr>
          <w:rStyle w:val="946"/>
          <w:b w:val="0"/>
          <w:sz w:val="26"/>
          <w:szCs w:val="26"/>
        </w:rPr>
        <w:outlineLvl w:val="0"/>
      </w:pPr>
      <w:r>
        <w:rPr>
          <w:rStyle w:val="946"/>
          <w:b w:val="0"/>
          <w:sz w:val="26"/>
          <w:szCs w:val="26"/>
        </w:rPr>
        <w:t xml:space="preserve">в случае, если заявитель не допущен к участию в аукционе, – в течение трех рабочих дней со дня оформления протокола приема заявок на участие в аукционе;</w:t>
      </w:r>
      <w:r>
        <w:rPr>
          <w:rStyle w:val="946"/>
          <w:b w:val="0"/>
          <w:sz w:val="26"/>
          <w:szCs w:val="26"/>
        </w:rPr>
      </w:r>
      <w:r>
        <w:rPr>
          <w:rStyle w:val="946"/>
          <w:b w:val="0"/>
          <w:sz w:val="26"/>
          <w:szCs w:val="26"/>
        </w:rPr>
      </w:r>
    </w:p>
    <w:p>
      <w:pPr>
        <w:ind w:firstLine="709"/>
        <w:jc w:val="both"/>
        <w:rPr>
          <w:rStyle w:val="946"/>
          <w:b w:val="0"/>
          <w:sz w:val="26"/>
          <w:szCs w:val="26"/>
        </w:rPr>
        <w:outlineLvl w:val="0"/>
      </w:pPr>
      <w:r>
        <w:rPr>
          <w:rStyle w:val="946"/>
          <w:b w:val="0"/>
          <w:sz w:val="26"/>
          <w:szCs w:val="26"/>
        </w:rPr>
        <w:t xml:space="preserve">в случае, если участник не признан победителем аукциона, – в течение трех рабочих дней со дня подписания протокола о результатах аукци</w:t>
      </w:r>
      <w:r>
        <w:rPr>
          <w:rStyle w:val="946"/>
          <w:b w:val="0"/>
          <w:sz w:val="26"/>
          <w:szCs w:val="26"/>
        </w:rPr>
        <w:t xml:space="preserve">она, за исключением участника аукциона, который сделал предпоследнее предложение о цене предмета аукциона. Задаток, внесенный таким участником, возвращается ему в течение трех дней со дня подписания договора аренды земельного участка победителем аукциона; </w:t>
      </w:r>
      <w:r>
        <w:rPr>
          <w:rStyle w:val="946"/>
          <w:b w:val="0"/>
          <w:sz w:val="26"/>
          <w:szCs w:val="26"/>
        </w:rPr>
      </w:r>
      <w:r>
        <w:rPr>
          <w:rStyle w:val="946"/>
          <w:b w:val="0"/>
          <w:sz w:val="26"/>
          <w:szCs w:val="26"/>
        </w:rPr>
      </w:r>
    </w:p>
    <w:p>
      <w:pPr>
        <w:ind w:firstLine="709"/>
        <w:jc w:val="both"/>
        <w:rPr>
          <w:rStyle w:val="946"/>
          <w:b w:val="0"/>
          <w:sz w:val="26"/>
          <w:szCs w:val="26"/>
        </w:rPr>
        <w:outlineLvl w:val="0"/>
      </w:pPr>
      <w:r>
        <w:rPr>
          <w:rStyle w:val="946"/>
          <w:b w:val="0"/>
          <w:sz w:val="26"/>
          <w:szCs w:val="26"/>
        </w:rPr>
        <w:t xml:space="preserve">в случае, если организатором аукциона принято решение об отказе в проведении аукциона, – в течение трех дней со дня принятия решения об отказе в проведении аукциона.</w:t>
      </w:r>
      <w:r>
        <w:rPr>
          <w:rStyle w:val="946"/>
          <w:b w:val="0"/>
          <w:sz w:val="26"/>
          <w:szCs w:val="26"/>
        </w:rPr>
      </w:r>
      <w:r>
        <w:rPr>
          <w:rStyle w:val="946"/>
          <w:b w:val="0"/>
          <w:sz w:val="26"/>
          <w:szCs w:val="26"/>
        </w:rPr>
      </w:r>
    </w:p>
    <w:p>
      <w:pPr>
        <w:ind w:firstLine="709"/>
        <w:jc w:val="both"/>
        <w:rPr>
          <w:sz w:val="26"/>
          <w:szCs w:val="26"/>
        </w:rPr>
        <w:outlineLvl w:val="0"/>
      </w:pPr>
      <w:r>
        <w:rPr>
          <w:sz w:val="26"/>
          <w:szCs w:val="26"/>
        </w:rPr>
        <w:t xml:space="preserve">Задаток не возвращается в случае уклонения от заключения договора аренды земельного участка: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ind w:firstLine="709"/>
        <w:jc w:val="both"/>
        <w:rPr>
          <w:sz w:val="26"/>
          <w:szCs w:val="26"/>
        </w:rPr>
        <w:outlineLvl w:val="0"/>
      </w:pPr>
      <w:r>
        <w:rPr>
          <w:sz w:val="26"/>
          <w:szCs w:val="26"/>
        </w:rPr>
        <w:t xml:space="preserve">единственному заявителю, признанному участником аукциона;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ind w:firstLine="709"/>
        <w:jc w:val="both"/>
        <w:rPr>
          <w:sz w:val="26"/>
          <w:szCs w:val="26"/>
        </w:rPr>
        <w:outlineLvl w:val="0"/>
      </w:pPr>
      <w:r>
        <w:rPr>
          <w:sz w:val="26"/>
          <w:szCs w:val="26"/>
        </w:rPr>
        <w:t xml:space="preserve">единственному принявшему участие в аукционе участнику; 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ind w:firstLine="709"/>
        <w:jc w:val="both"/>
        <w:rPr>
          <w:sz w:val="26"/>
          <w:szCs w:val="26"/>
        </w:rPr>
        <w:outlineLvl w:val="0"/>
      </w:pPr>
      <w:r>
        <w:rPr>
          <w:sz w:val="26"/>
          <w:szCs w:val="26"/>
        </w:rPr>
        <w:t xml:space="preserve">участнику, признанному победителем аукциона;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ind w:firstLine="709"/>
        <w:jc w:val="both"/>
        <w:rPr>
          <w:sz w:val="26"/>
          <w:szCs w:val="26"/>
        </w:rPr>
        <w:outlineLvl w:val="0"/>
      </w:pPr>
      <w:r>
        <w:rPr>
          <w:sz w:val="26"/>
          <w:szCs w:val="26"/>
        </w:rPr>
        <w:t xml:space="preserve">участнику аукциона, который сделал предпоследнее предложение о цене предмета аукциона, если договор аренды земельного участка в течение десяти рабочих дней со дня направления победителю аукциона не были им подписан и представлен в уполномоченный орган.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ind w:firstLine="709"/>
        <w:jc w:val="both"/>
        <w:rPr>
          <w:sz w:val="26"/>
          <w:szCs w:val="26"/>
        </w:rPr>
        <w:outlineLvl w:val="0"/>
      </w:pPr>
      <w:r>
        <w:rPr>
          <w:sz w:val="26"/>
          <w:szCs w:val="26"/>
        </w:rPr>
        <w:t xml:space="preserve">Задаток засчитывается в счет арендной платы за земельный участок.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ind w:right="-22" w:firstLine="709"/>
        <w:jc w:val="both"/>
        <w:shd w:val="clear" w:color="auto" w:fill="ffffff"/>
        <w:rPr>
          <w:rStyle w:val="946"/>
          <w:sz w:val="26"/>
          <w:szCs w:val="26"/>
        </w:rPr>
      </w:pPr>
      <w:r>
        <w:rPr>
          <w:rStyle w:val="946"/>
          <w:sz w:val="26"/>
          <w:szCs w:val="26"/>
        </w:rPr>
        <w:t xml:space="preserve">Сведения</w:t>
      </w:r>
      <w:r>
        <w:rPr>
          <w:sz w:val="26"/>
          <w:szCs w:val="26"/>
        </w:rPr>
        <w:t xml:space="preserve"> </w:t>
      </w:r>
      <w:r>
        <w:rPr>
          <w:rStyle w:val="946"/>
          <w:sz w:val="26"/>
          <w:szCs w:val="26"/>
        </w:rPr>
        <w:t xml:space="preserve">о существенных условиях договора аренды земельного участка: </w:t>
      </w:r>
      <w:r>
        <w:rPr>
          <w:rStyle w:val="946"/>
          <w:sz w:val="26"/>
          <w:szCs w:val="26"/>
        </w:rPr>
      </w:r>
      <w:r>
        <w:rPr>
          <w:rStyle w:val="946"/>
          <w:sz w:val="26"/>
          <w:szCs w:val="26"/>
        </w:rPr>
      </w:r>
    </w:p>
    <w:p>
      <w:pPr>
        <w:numPr>
          <w:ilvl w:val="0"/>
          <w:numId w:val="10"/>
        </w:numPr>
        <w:ind w:left="0" w:right="-22" w:firstLine="709"/>
        <w:jc w:val="both"/>
        <w:shd w:val="clear" w:color="auto" w:fill="ffffff"/>
        <w:tabs>
          <w:tab w:val="left" w:pos="993" w:leader="none"/>
        </w:tabs>
        <w:rPr>
          <w:sz w:val="26"/>
          <w:szCs w:val="26"/>
        </w:rPr>
      </w:pPr>
      <w:r>
        <w:rPr>
          <w:rStyle w:val="946"/>
          <w:b w:val="0"/>
          <w:sz w:val="26"/>
          <w:szCs w:val="26"/>
        </w:rPr>
        <w:t xml:space="preserve">размер ежегодной арендной платы по договору аренды земельного участка </w:t>
      </w:r>
      <w:r>
        <w:rPr>
          <w:sz w:val="26"/>
          <w:szCs w:val="26"/>
        </w:rPr>
        <w:t xml:space="preserve">устанавливается по итогам аукциона;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numPr>
          <w:ilvl w:val="0"/>
          <w:numId w:val="10"/>
        </w:numPr>
        <w:ind w:right="-23"/>
        <w:jc w:val="both"/>
        <w:shd w:val="clear" w:color="auto" w:fill="ffffff"/>
        <w:tabs>
          <w:tab w:val="left" w:pos="993" w:leader="none"/>
        </w:tabs>
        <w:rPr>
          <w:bCs/>
          <w:sz w:val="26"/>
          <w:szCs w:val="26"/>
        </w:rPr>
      </w:pPr>
      <w:r>
        <w:rPr>
          <w:sz w:val="26"/>
          <w:szCs w:val="26"/>
        </w:rPr>
        <w:t xml:space="preserve">срок действия договора аренды земельного участка составляет </w:t>
      </w:r>
      <w:r>
        <w:rPr>
          <w:b/>
          <w:i/>
          <w:sz w:val="26"/>
          <w:szCs w:val="26"/>
        </w:rPr>
        <w:t xml:space="preserve">20 (двадцать) лет</w:t>
      </w:r>
      <w:r>
        <w:rPr>
          <w:sz w:val="26"/>
          <w:szCs w:val="26"/>
        </w:rPr>
        <w:t xml:space="preserve"> с даты</w:t>
      </w:r>
      <w:r>
        <w:rPr>
          <w:bCs/>
          <w:sz w:val="26"/>
          <w:szCs w:val="26"/>
        </w:rPr>
        <w:t xml:space="preserve"> заключения договора аренды земельного участка;</w:t>
      </w:r>
      <w:r>
        <w:rPr>
          <w:bCs/>
          <w:sz w:val="26"/>
          <w:szCs w:val="26"/>
        </w:rPr>
      </w:r>
      <w:r>
        <w:rPr>
          <w:bCs/>
          <w:sz w:val="26"/>
          <w:szCs w:val="26"/>
        </w:rPr>
      </w:r>
    </w:p>
    <w:p>
      <w:pPr>
        <w:numPr>
          <w:ilvl w:val="0"/>
          <w:numId w:val="10"/>
        </w:numPr>
        <w:ind w:left="0" w:right="-22" w:firstLine="709"/>
        <w:jc w:val="both"/>
        <w:shd w:val="clear" w:color="auto" w:fill="ffffff"/>
        <w:tabs>
          <w:tab w:val="left" w:pos="993" w:leader="none"/>
        </w:tabs>
        <w:rPr>
          <w:rStyle w:val="946"/>
          <w:b w:val="0"/>
          <w:bCs w:val="0"/>
        </w:rPr>
      </w:pPr>
      <w:r>
        <w:rPr>
          <w:rStyle w:val="946"/>
          <w:b w:val="0"/>
          <w:bCs w:val="0"/>
        </w:rPr>
        <w:t xml:space="preserve">арендная плата вносится ежеквартально равными частями не позднее первого числа квартала, следующего за расчетным периодом.</w:t>
      </w:r>
      <w:r>
        <w:rPr>
          <w:rStyle w:val="946"/>
          <w:b w:val="0"/>
          <w:bCs w:val="0"/>
        </w:rPr>
      </w:r>
      <w:r>
        <w:rPr>
          <w:rStyle w:val="946"/>
          <w:b w:val="0"/>
          <w:bCs w:val="0"/>
        </w:rPr>
      </w:r>
    </w:p>
    <w:p>
      <w:pPr>
        <w:ind w:right="-23" w:firstLine="709"/>
        <w:jc w:val="both"/>
        <w:shd w:val="clear" w:color="auto" w:fill="ffffff"/>
        <w:tabs>
          <w:tab w:val="left" w:pos="993" w:leader="none"/>
        </w:tabs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Порядок заключения договора аренды земельного участка:</w:t>
      </w:r>
      <w:r>
        <w:rPr>
          <w:b/>
          <w:sz w:val="26"/>
          <w:szCs w:val="26"/>
        </w:rPr>
      </w:r>
      <w:r>
        <w:rPr>
          <w:b/>
          <w:sz w:val="26"/>
          <w:szCs w:val="26"/>
        </w:rPr>
      </w:r>
    </w:p>
    <w:p>
      <w:pPr>
        <w:ind w:firstLine="709"/>
        <w:jc w:val="both"/>
        <w:rPr>
          <w:sz w:val="26"/>
          <w:szCs w:val="26"/>
        </w:rPr>
        <w:outlineLvl w:val="0"/>
      </w:pPr>
      <w:r>
        <w:rPr>
          <w:sz w:val="26"/>
          <w:szCs w:val="26"/>
        </w:rPr>
        <w:t xml:space="preserve">По результатам проведения электронного аукциона не допускается заключение договора аренды земельного участка, ранее чем через десять дней со дня размещения </w:t>
      </w:r>
      <w:r>
        <w:rPr>
          <w:sz w:val="26"/>
          <w:szCs w:val="26"/>
        </w:rPr>
        <w:t xml:space="preserve">протокола рассмотрения заявок на участие в электронном аукционе в случае, если электронный аукцион признан несостоявшимся, либо протокола о результатах электронного аукциона размещен на официальном сайте.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ind w:firstLine="709"/>
        <w:jc w:val="both"/>
        <w:rPr>
          <w:sz w:val="26"/>
          <w:szCs w:val="26"/>
        </w:rPr>
        <w:outlineLvl w:val="0"/>
      </w:pPr>
      <w:r>
        <w:rPr>
          <w:sz w:val="26"/>
          <w:szCs w:val="26"/>
        </w:rPr>
        <w:t xml:space="preserve">Уполномоченный орган обязан в течение пяти дней со дня истечения срока, предусмотренного </w:t>
      </w:r>
      <w:hyperlink w:tooltip="#P1333" w:anchor="P1333" w:history="1">
        <w:r>
          <w:rPr>
            <w:sz w:val="26"/>
            <w:szCs w:val="26"/>
          </w:rPr>
          <w:t xml:space="preserve">пунктом 11</w:t>
        </w:r>
      </w:hyperlink>
      <w:r>
        <w:rPr>
          <w:sz w:val="26"/>
          <w:szCs w:val="26"/>
        </w:rPr>
        <w:t xml:space="preserve"> статьи 39.13, направить победителю электронного аукциона или иным лицам, с которыми заключается договор аренды земельного участка, подписанный проект договора аренды земельного участка.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ind w:firstLine="709"/>
        <w:jc w:val="both"/>
        <w:rPr>
          <w:sz w:val="26"/>
          <w:szCs w:val="26"/>
        </w:rPr>
        <w:outlineLvl w:val="0"/>
      </w:pPr>
      <w:r>
        <w:rPr>
          <w:sz w:val="26"/>
          <w:szCs w:val="26"/>
        </w:rPr>
        <w:t xml:space="preserve">По результатам проведения электронного аукциона договор аренды земельного участка, заключается в электронной форме и подписывается усиленной квалифицированной электронной подписью сторон такого договора.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ind w:firstLine="709"/>
        <w:jc w:val="both"/>
        <w:rPr>
          <w:bCs/>
          <w:sz w:val="26"/>
          <w:szCs w:val="26"/>
        </w:rPr>
        <w:outlineLvl w:val="0"/>
      </w:pPr>
      <w:r>
        <w:rPr>
          <w:bCs/>
          <w:sz w:val="26"/>
          <w:szCs w:val="26"/>
        </w:rPr>
        <w:t xml:space="preserve">Если договор аренды в течение десяти рабочих дней со дня направления победителю аукциона проекта указанного договора не будет им подписан и представлен в департамент имущ</w:t>
      </w:r>
      <w:r>
        <w:rPr>
          <w:bCs/>
          <w:sz w:val="26"/>
          <w:szCs w:val="26"/>
        </w:rPr>
        <w:t xml:space="preserve">ества и земельных отношений Новосибирской области, уполномоченный орган направляет указанный договор участнику аукциона, который сделал предпоследнее предложение о цене предмета аукциона, для его заключения по цене, предложенной таким участником аукциона. </w:t>
      </w:r>
      <w:r>
        <w:rPr>
          <w:bCs/>
          <w:sz w:val="26"/>
          <w:szCs w:val="26"/>
        </w:rPr>
      </w:r>
      <w:r>
        <w:rPr>
          <w:bCs/>
          <w:sz w:val="26"/>
          <w:szCs w:val="26"/>
        </w:rPr>
      </w:r>
    </w:p>
    <w:p>
      <w:pPr>
        <w:ind w:firstLine="709"/>
        <w:jc w:val="both"/>
        <w:rPr>
          <w:bCs/>
          <w:sz w:val="26"/>
          <w:szCs w:val="26"/>
        </w:rPr>
        <w:outlineLvl w:val="0"/>
      </w:pPr>
      <w:r>
        <w:rPr>
          <w:bCs/>
          <w:sz w:val="26"/>
          <w:szCs w:val="26"/>
        </w:rPr>
        <w:t xml:space="preserve">В случае, если в течение десяти рабочих дней со дня направления участнику аукциона, который сделал предпоследнее предложение о цене предмета аукциона, проекта договора аренды земельного учас</w:t>
      </w:r>
      <w:r>
        <w:rPr>
          <w:bCs/>
          <w:sz w:val="26"/>
          <w:szCs w:val="26"/>
        </w:rPr>
        <w:t xml:space="preserve">тка этот участник не представил в уполномоченный орган подписанные им договор, уполномоченный орган вправе объявить о проведении повторного аукциона или распорядиться земельным участком иным образом в соответствии с Земельным кодексом Российской Федерации.</w:t>
      </w:r>
      <w:r>
        <w:rPr>
          <w:bCs/>
          <w:sz w:val="26"/>
          <w:szCs w:val="26"/>
        </w:rPr>
      </w:r>
      <w:r>
        <w:rPr>
          <w:bCs/>
          <w:sz w:val="26"/>
          <w:szCs w:val="26"/>
        </w:rPr>
      </w:r>
    </w:p>
    <w:p>
      <w:pPr>
        <w:ind w:firstLine="709"/>
        <w:jc w:val="both"/>
        <w:rPr>
          <w:bCs/>
          <w:sz w:val="26"/>
          <w:szCs w:val="26"/>
        </w:rPr>
        <w:outlineLvl w:val="0"/>
      </w:pPr>
      <w:r>
        <w:rPr>
          <w:sz w:val="26"/>
          <w:szCs w:val="26"/>
        </w:rPr>
        <w:t xml:space="preserve">Осмотр земельного участка </w:t>
      </w:r>
      <w:r>
        <w:rPr>
          <w:bCs/>
          <w:sz w:val="26"/>
          <w:szCs w:val="26"/>
        </w:rPr>
        <w:t xml:space="preserve">заявителями осуществляется самостоятельно.</w:t>
      </w:r>
      <w:r>
        <w:rPr>
          <w:bCs/>
          <w:sz w:val="26"/>
          <w:szCs w:val="26"/>
        </w:rPr>
      </w:r>
      <w:r>
        <w:rPr>
          <w:bCs/>
          <w:sz w:val="26"/>
          <w:szCs w:val="26"/>
        </w:rPr>
      </w:r>
    </w:p>
    <w:p>
      <w:pPr>
        <w:ind w:firstLine="709"/>
        <w:jc w:val="both"/>
        <w:rPr>
          <w:sz w:val="26"/>
          <w:szCs w:val="26"/>
        </w:rPr>
      </w:pPr>
      <w:r>
        <w:rPr>
          <w:rStyle w:val="946"/>
          <w:b w:val="0"/>
          <w:sz w:val="26"/>
          <w:szCs w:val="26"/>
        </w:rPr>
        <w:t xml:space="preserve">Информация об аукционе размещается </w:t>
      </w:r>
      <w:r>
        <w:rPr>
          <w:sz w:val="26"/>
          <w:szCs w:val="26"/>
        </w:rPr>
        <w:t xml:space="preserve">на официальном сайте торгов Российской Федерации </w:t>
      </w:r>
      <w:hyperlink r:id="rId18" w:tooltip="http://www.torgi.gov.ru" w:history="1">
        <w:r>
          <w:rPr>
            <w:rStyle w:val="954"/>
            <w:sz w:val="26"/>
            <w:szCs w:val="26"/>
            <w:lang w:val="en-US"/>
          </w:rPr>
          <w:t xml:space="preserve">www</w:t>
        </w:r>
        <w:r>
          <w:rPr>
            <w:rStyle w:val="954"/>
            <w:sz w:val="26"/>
            <w:szCs w:val="26"/>
          </w:rPr>
          <w:t xml:space="preserve">.</w:t>
        </w:r>
        <w:r>
          <w:rPr>
            <w:rStyle w:val="954"/>
            <w:sz w:val="26"/>
            <w:szCs w:val="26"/>
            <w:lang w:val="en-US"/>
          </w:rPr>
          <w:t xml:space="preserve">torgi</w:t>
        </w:r>
        <w:r>
          <w:rPr>
            <w:rStyle w:val="954"/>
            <w:sz w:val="26"/>
            <w:szCs w:val="26"/>
          </w:rPr>
          <w:t xml:space="preserve">.</w:t>
        </w:r>
        <w:r>
          <w:rPr>
            <w:rStyle w:val="954"/>
            <w:sz w:val="26"/>
            <w:szCs w:val="26"/>
            <w:lang w:val="en-US"/>
          </w:rPr>
          <w:t xml:space="preserve">gov</w:t>
        </w:r>
        <w:r>
          <w:rPr>
            <w:rStyle w:val="954"/>
            <w:sz w:val="26"/>
            <w:szCs w:val="26"/>
          </w:rPr>
          <w:t xml:space="preserve">.</w:t>
        </w:r>
        <w:r>
          <w:rPr>
            <w:rStyle w:val="954"/>
            <w:sz w:val="26"/>
            <w:szCs w:val="26"/>
            <w:lang w:val="en-US"/>
          </w:rPr>
          <w:t xml:space="preserve">ru</w:t>
        </w:r>
      </w:hyperlink>
      <w:r>
        <w:rPr>
          <w:sz w:val="26"/>
          <w:szCs w:val="26"/>
        </w:rPr>
        <w:t xml:space="preserve"> и на официальном сайте департамента имущества и земельных отношений Новосибирской области www.dizo.nso.ru.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ind w:firstLine="709"/>
        <w:jc w:val="both"/>
        <w:rPr>
          <w:sz w:val="26"/>
          <w:szCs w:val="26"/>
        </w:rPr>
      </w:pPr>
      <w:r>
        <w:rPr>
          <w:rStyle w:val="946"/>
          <w:b w:val="0"/>
          <w:sz w:val="26"/>
          <w:szCs w:val="26"/>
        </w:rPr>
        <w:t xml:space="preserve">В случае выявления обстоятельств, предусмотренных пунктом 8 статьи 39.11 Земельного кодекса Российской Федерации, </w:t>
      </w:r>
      <w:r>
        <w:rPr>
          <w:sz w:val="26"/>
          <w:szCs w:val="26"/>
        </w:rPr>
        <w:t xml:space="preserve">департамент имущества и земельных отношений Новосибирской области</w:t>
      </w:r>
      <w:r>
        <w:rPr>
          <w:rStyle w:val="946"/>
          <w:b w:val="0"/>
          <w:sz w:val="26"/>
          <w:szCs w:val="26"/>
        </w:rPr>
        <w:t xml:space="preserve"> принимает решение об отказе в проведении аукциона.</w:t>
      </w:r>
      <w:r>
        <w:rPr>
          <w:sz w:val="26"/>
          <w:szCs w:val="26"/>
        </w:rPr>
        <w:t xml:space="preserve"> Извещение об отказе в проведении аукциона размещается на официальном сайте торгов Российской Федерации </w:t>
      </w:r>
      <w:hyperlink r:id="rId19" w:tooltip="http://www.torgi.gov.ru" w:history="1">
        <w:r>
          <w:rPr>
            <w:rStyle w:val="954"/>
            <w:sz w:val="26"/>
            <w:szCs w:val="26"/>
            <w:lang w:val="en-US"/>
          </w:rPr>
          <w:t xml:space="preserve">www</w:t>
        </w:r>
        <w:r>
          <w:rPr>
            <w:rStyle w:val="954"/>
            <w:sz w:val="26"/>
            <w:szCs w:val="26"/>
          </w:rPr>
          <w:t xml:space="preserve">.</w:t>
        </w:r>
        <w:r>
          <w:rPr>
            <w:rStyle w:val="954"/>
            <w:sz w:val="26"/>
            <w:szCs w:val="26"/>
            <w:lang w:val="en-US"/>
          </w:rPr>
          <w:t xml:space="preserve">torgi</w:t>
        </w:r>
        <w:r>
          <w:rPr>
            <w:rStyle w:val="954"/>
            <w:sz w:val="26"/>
            <w:szCs w:val="26"/>
          </w:rPr>
          <w:t xml:space="preserve">.</w:t>
        </w:r>
        <w:r>
          <w:rPr>
            <w:rStyle w:val="954"/>
            <w:sz w:val="26"/>
            <w:szCs w:val="26"/>
            <w:lang w:val="en-US"/>
          </w:rPr>
          <w:t xml:space="preserve">gov</w:t>
        </w:r>
        <w:r>
          <w:rPr>
            <w:rStyle w:val="954"/>
            <w:sz w:val="26"/>
            <w:szCs w:val="26"/>
          </w:rPr>
          <w:t xml:space="preserve">.</w:t>
        </w:r>
        <w:r>
          <w:rPr>
            <w:rStyle w:val="954"/>
            <w:sz w:val="26"/>
            <w:szCs w:val="26"/>
            <w:lang w:val="en-US"/>
          </w:rPr>
          <w:t xml:space="preserve">ru</w:t>
        </w:r>
      </w:hyperlink>
      <w:r>
        <w:rPr>
          <w:sz w:val="26"/>
          <w:szCs w:val="26"/>
        </w:rPr>
        <w:t xml:space="preserve"> в течение трех дней со дня принятия данного решения.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ind w:firstLine="709"/>
        <w:jc w:val="both"/>
        <w:rPr>
          <w:rStyle w:val="946"/>
          <w:b w:val="0"/>
          <w:bCs w:val="0"/>
          <w:sz w:val="26"/>
          <w:szCs w:val="26"/>
        </w:rPr>
      </w:pPr>
      <w:r>
        <w:rPr>
          <w:sz w:val="26"/>
          <w:szCs w:val="26"/>
        </w:rPr>
        <w:t xml:space="preserve">Приложением к настоящему извещению является: форма заявки на участие в аукционе, проект договора аренды.</w:t>
      </w:r>
      <w:r>
        <w:rPr>
          <w:rStyle w:val="946"/>
          <w:b w:val="0"/>
          <w:bCs w:val="0"/>
          <w:sz w:val="26"/>
          <w:szCs w:val="26"/>
        </w:rPr>
      </w:r>
      <w:r>
        <w:rPr>
          <w:rStyle w:val="946"/>
          <w:b w:val="0"/>
          <w:bCs w:val="0"/>
          <w:sz w:val="26"/>
          <w:szCs w:val="26"/>
        </w:rPr>
      </w:r>
    </w:p>
    <w:p>
      <w:pPr>
        <w:ind w:firstLine="709"/>
        <w:jc w:val="both"/>
        <w:rPr>
          <w:rStyle w:val="946"/>
          <w:b w:val="0"/>
          <w:bCs w:val="0"/>
          <w:sz w:val="26"/>
          <w:szCs w:val="26"/>
        </w:rPr>
      </w:pPr>
      <w:r>
        <w:rPr>
          <w:b w:val="0"/>
          <w:bCs w:val="0"/>
          <w:sz w:val="26"/>
          <w:szCs w:val="26"/>
        </w:rPr>
      </w:r>
      <w:r>
        <w:rPr>
          <w:rStyle w:val="946"/>
          <w:b w:val="0"/>
          <w:bCs w:val="0"/>
          <w:sz w:val="26"/>
          <w:szCs w:val="26"/>
        </w:rPr>
      </w:r>
      <w:r>
        <w:rPr>
          <w:rStyle w:val="946"/>
          <w:b w:val="0"/>
          <w:bCs w:val="0"/>
          <w:sz w:val="26"/>
          <w:szCs w:val="26"/>
        </w:rPr>
      </w:r>
    </w:p>
    <w:sectPr>
      <w:headerReference w:type="default" r:id="rId9"/>
      <w:footerReference w:type="default" r:id="rId10"/>
      <w:footerReference w:type="even" r:id="rId11"/>
      <w:footnotePr/>
      <w:endnotePr/>
      <w:type w:val="nextPage"/>
      <w:pgSz w:w="11906" w:h="16838" w:orient="portrait"/>
      <w:pgMar w:top="851" w:right="851" w:bottom="851" w:left="1418" w:header="567" w:footer="284" w:gutter="0"/>
      <w:cols w:num="1" w:sep="0" w:space="708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</w:font>
  <w:font w:name="Symbol">
    <w:panose1 w:val="05050102010706020507"/>
  </w:font>
  <w:font w:name="Courier New">
    <w:panose1 w:val="02070309020205020404"/>
  </w:font>
  <w:font w:name="Tahoma">
    <w:panose1 w:val="020B0604030504040204"/>
  </w:font>
  <w:font w:name="Arial">
    <w:panose1 w:val="020B0604020202020204"/>
  </w:font>
  <w:font w:name="Calibri">
    <w:panose1 w:val="020F0502020204030204"/>
  </w:font>
  <w:font w:name="Times New Roman">
    <w:panose1 w:val="020206030504050203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49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t xml:space="preserve">4</w:t>
    </w:r>
    <w:r>
      <w:fldChar w:fldCharType="end"/>
    </w:r>
    <w:r/>
  </w:p>
  <w:p>
    <w:pPr>
      <w:pStyle w:val="949"/>
      <w:ind w:right="360"/>
    </w:pPr>
    <w:r/>
    <w:r/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49"/>
      <w:rPr>
        <w:rStyle w:val="950"/>
      </w:rPr>
      <w:framePr w:wrap="around" w:vAnchor="text" w:hAnchor="margin" w:xAlign="right" w:y="1"/>
    </w:pPr>
    <w:r>
      <w:rPr>
        <w:rStyle w:val="950"/>
      </w:rPr>
      <w:fldChar w:fldCharType="begin"/>
    </w:r>
    <w:r>
      <w:rPr>
        <w:rStyle w:val="950"/>
      </w:rPr>
      <w:instrText xml:space="preserve">PAGE  </w:instrText>
    </w:r>
    <w:r>
      <w:rPr>
        <w:rStyle w:val="950"/>
      </w:rPr>
      <w:fldChar w:fldCharType="end"/>
    </w:r>
    <w:r>
      <w:rPr>
        <w:rStyle w:val="950"/>
      </w:rPr>
    </w:r>
    <w:r>
      <w:rPr>
        <w:rStyle w:val="950"/>
      </w:rPr>
    </w:r>
  </w:p>
  <w:p>
    <w:pPr>
      <w:pStyle w:val="949"/>
      <w:ind w:right="360"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  <w:footnote w:id="2">
    <w:p>
      <w:pPr>
        <w:pStyle w:val="970"/>
      </w:pPr>
      <w:r>
        <w:rPr>
          <w:rStyle w:val="972"/>
        </w:rPr>
        <w:footnoteRef/>
      </w:r>
      <w:r>
        <w:t xml:space="preserve"> Применяется для хозяйственных построек, бань и гаражей, не требующих получения разрешения на строительство.</w:t>
      </w:r>
      <w:r/>
    </w:p>
    <w:p>
      <w:pPr>
        <w:pStyle w:val="970"/>
      </w:pPr>
      <w:r/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714" w:hanging="1005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  <w:rPr>
        <w:rFonts w:hint="default"/>
        <w:b w:val="0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6480" w:leader="none"/>
        </w:tabs>
      </w:pPr>
    </w:lvl>
  </w:abstractNum>
  <w:abstractNum w:abstractNumId="5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1211" w:hanging="360"/>
        <w:tabs>
          <w:tab w:val="num" w:pos="1211" w:leader="none"/>
        </w:tabs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391" w:hanging="360"/>
        <w:tabs>
          <w:tab w:val="num" w:pos="1391" w:leader="none"/>
        </w:tabs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11" w:hanging="360"/>
        <w:tabs>
          <w:tab w:val="num" w:pos="2111" w:leader="none"/>
        </w:tabs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31" w:hanging="360"/>
        <w:tabs>
          <w:tab w:val="num" w:pos="2831" w:leader="none"/>
        </w:tabs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51" w:hanging="360"/>
        <w:tabs>
          <w:tab w:val="num" w:pos="3551" w:leader="none"/>
        </w:tabs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271" w:hanging="360"/>
        <w:tabs>
          <w:tab w:val="num" w:pos="4271" w:leader="none"/>
        </w:tabs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4991" w:hanging="360"/>
        <w:tabs>
          <w:tab w:val="num" w:pos="4991" w:leader="none"/>
        </w:tabs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11" w:hanging="360"/>
        <w:tabs>
          <w:tab w:val="num" w:pos="5711" w:leader="none"/>
        </w:tabs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31" w:hanging="360"/>
        <w:tabs>
          <w:tab w:val="num" w:pos="6431" w:leader="none"/>
        </w:tabs>
      </w:pPr>
      <w:rPr>
        <w:rFonts w:hint="default" w:ascii="Wingdings" w:hAnsi="Wingdings"/>
      </w:rPr>
    </w:lvl>
  </w:abstractNum>
  <w:abstractNum w:abstractNumId="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785" w:hanging="1065"/>
        <w:tabs>
          <w:tab w:val="num" w:pos="1785" w:leader="none"/>
        </w:tabs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800" w:hanging="360"/>
        <w:tabs>
          <w:tab w:val="num" w:pos="180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520" w:hanging="180"/>
        <w:tabs>
          <w:tab w:val="num" w:pos="252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3240" w:hanging="360"/>
        <w:tabs>
          <w:tab w:val="num" w:pos="324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960" w:hanging="360"/>
        <w:tabs>
          <w:tab w:val="num" w:pos="396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680" w:hanging="180"/>
        <w:tabs>
          <w:tab w:val="num" w:pos="468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400" w:hanging="360"/>
        <w:tabs>
          <w:tab w:val="num" w:pos="540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6120" w:hanging="360"/>
        <w:tabs>
          <w:tab w:val="num" w:pos="612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840" w:hanging="180"/>
        <w:tabs>
          <w:tab w:val="num" w:pos="6840" w:leader="none"/>
        </w:tabs>
      </w:pPr>
    </w:lvl>
  </w:abstractNum>
  <w:abstractNum w:abstractNumId="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740" w:hanging="1020"/>
        <w:tabs>
          <w:tab w:val="num" w:pos="1740" w:leader="none"/>
        </w:tabs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800" w:hanging="360"/>
        <w:tabs>
          <w:tab w:val="num" w:pos="180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520" w:hanging="180"/>
        <w:tabs>
          <w:tab w:val="num" w:pos="252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3240" w:hanging="360"/>
        <w:tabs>
          <w:tab w:val="num" w:pos="324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960" w:hanging="360"/>
        <w:tabs>
          <w:tab w:val="num" w:pos="396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680" w:hanging="180"/>
        <w:tabs>
          <w:tab w:val="num" w:pos="468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400" w:hanging="360"/>
        <w:tabs>
          <w:tab w:val="num" w:pos="540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6120" w:hanging="360"/>
        <w:tabs>
          <w:tab w:val="num" w:pos="612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840" w:hanging="180"/>
        <w:tabs>
          <w:tab w:val="num" w:pos="6840" w:leader="none"/>
        </w:tabs>
      </w:pPr>
    </w:lvl>
  </w:abstractNum>
  <w:abstractNum w:abstractNumId="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956" w:hanging="360"/>
        <w:tabs>
          <w:tab w:val="num" w:pos="1956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2676" w:hanging="360"/>
        <w:tabs>
          <w:tab w:val="num" w:pos="2676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3396" w:hanging="180"/>
        <w:tabs>
          <w:tab w:val="num" w:pos="3396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4116" w:hanging="360"/>
        <w:tabs>
          <w:tab w:val="num" w:pos="4116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4836" w:hanging="360"/>
        <w:tabs>
          <w:tab w:val="num" w:pos="4836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5556" w:hanging="180"/>
        <w:tabs>
          <w:tab w:val="num" w:pos="5556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6276" w:hanging="360"/>
        <w:tabs>
          <w:tab w:val="num" w:pos="6276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6996" w:hanging="360"/>
        <w:tabs>
          <w:tab w:val="num" w:pos="6996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7716" w:hanging="180"/>
        <w:tabs>
          <w:tab w:val="num" w:pos="7716" w:leader="none"/>
        </w:tabs>
      </w:pPr>
    </w:lvl>
  </w:abstractNum>
  <w:abstractNum w:abstractNumId="10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1429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149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69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89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9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29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49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9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89" w:hanging="360"/>
      </w:pPr>
      <w:rPr>
        <w:rFonts w:hint="default" w:ascii="Wingdings" w:hAnsi="Wingdings"/>
      </w:rPr>
    </w:lvl>
  </w:abstractNum>
  <w:abstractNum w:abstractNumId="11">
    <w:multiLevelType w:val="hybridMultilevel"/>
    <w:lvl w:ilvl="0">
      <w:start w:val="3"/>
      <w:numFmt w:val="decimal"/>
      <w:isLgl w:val="false"/>
      <w:suff w:val="tab"/>
      <w:lvlText w:val="%1."/>
      <w:lvlJc w:val="left"/>
      <w:pPr>
        <w:ind w:left="1080" w:hanging="360"/>
        <w:tabs>
          <w:tab w:val="num" w:pos="1080" w:leader="none"/>
        </w:tabs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800" w:hanging="360"/>
        <w:tabs>
          <w:tab w:val="num" w:pos="180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520" w:hanging="180"/>
        <w:tabs>
          <w:tab w:val="num" w:pos="252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3240" w:hanging="360"/>
        <w:tabs>
          <w:tab w:val="num" w:pos="324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960" w:hanging="360"/>
        <w:tabs>
          <w:tab w:val="num" w:pos="396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680" w:hanging="180"/>
        <w:tabs>
          <w:tab w:val="num" w:pos="468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400" w:hanging="360"/>
        <w:tabs>
          <w:tab w:val="num" w:pos="540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6120" w:hanging="360"/>
        <w:tabs>
          <w:tab w:val="num" w:pos="612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840" w:hanging="180"/>
        <w:tabs>
          <w:tab w:val="num" w:pos="6840" w:leader="none"/>
        </w:tabs>
      </w:pPr>
    </w:lvl>
  </w:abstractNum>
  <w:abstractNum w:abstractNumId="12">
    <w:multiLevelType w:val="hybridMultilevel"/>
    <w:lvl w:ilvl="0">
      <w:start w:val="1"/>
      <w:numFmt w:val="decimal"/>
      <w:isLgl w:val="false"/>
      <w:suff w:val="tab"/>
      <w:lvlText w:val="%1"/>
      <w:lvlJc w:val="left"/>
      <w:pPr>
        <w:ind w:left="360" w:hanging="360"/>
      </w:pPr>
      <w:rPr>
        <w:rFonts w:hint="default"/>
        <w:sz w:val="24"/>
        <w:szCs w:val="24"/>
      </w:rPr>
    </w:lvl>
    <w:lvl w:ilvl="1">
      <w:start w:val="1"/>
      <w:numFmt w:val="decimal"/>
      <w:isLgl w:val="false"/>
      <w:suff w:val="tab"/>
      <w:lvlText w:val="%1.%2."/>
      <w:lvlJc w:val="left"/>
      <w:pPr>
        <w:ind w:left="574" w:hanging="432"/>
      </w:pPr>
      <w:rPr>
        <w:sz w:val="24"/>
      </w:rPr>
    </w:lvl>
    <w:lvl w:ilvl="2">
      <w:start w:val="1"/>
      <w:numFmt w:val="decimal"/>
      <w:isLgl w:val="false"/>
      <w:suff w:val="tab"/>
      <w:lvlText w:val="%1.%2.%3."/>
      <w:lvlJc w:val="left"/>
      <w:pPr>
        <w:ind w:left="504" w:hanging="504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</w:lvl>
  </w:abstractNum>
  <w:abstractNum w:abstractNumId="13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418" w:hanging="360"/>
      </w:pPr>
      <w:rPr>
        <w:rFonts w:ascii="Arial" w:hAnsi="Arial" w:eastAsia="Arial" w:cs="Arial"/>
      </w:rPr>
    </w:lvl>
    <w:lvl w:ilvl="1">
      <w:start w:val="1"/>
      <w:numFmt w:val="lowerLetter"/>
      <w:isLgl w:val="false"/>
      <w:suff w:val="tab"/>
      <w:lvlText w:val="%2."/>
      <w:lvlJc w:val="left"/>
      <w:pPr>
        <w:ind w:left="213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58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7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29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18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3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5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78" w:hanging="180"/>
      </w:pPr>
    </w:lvl>
  </w:abstractNum>
  <w:abstractNum w:abstractNumId="14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418" w:hanging="360"/>
      </w:pPr>
      <w:rPr>
        <w:rFonts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2138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858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578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298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5018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738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58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178" w:hanging="360"/>
      </w:pPr>
      <w:rPr>
        <w:rFonts w:hint="default" w:ascii="Wingdings" w:hAnsi="Wingdings" w:eastAsia="Wingdings" w:cs="Wingdings"/>
      </w:rPr>
    </w:lvl>
  </w:abstractNum>
  <w:num w:numId="1">
    <w:abstractNumId w:val="8"/>
  </w:num>
  <w:num w:numId="2">
    <w:abstractNumId w:val="7"/>
  </w:num>
  <w:num w:numId="3">
    <w:abstractNumId w:val="4"/>
  </w:num>
  <w:num w:numId="4">
    <w:abstractNumId w:val="9"/>
  </w:num>
  <w:num w:numId="5">
    <w:abstractNumId w:val="11"/>
  </w:num>
  <w:num w:numId="6">
    <w:abstractNumId w:val="1"/>
  </w:num>
  <w:num w:numId="7">
    <w:abstractNumId w:val="2"/>
  </w:num>
  <w:num w:numId="8">
    <w:abstractNumId w:val="6"/>
  </w:num>
  <w:num w:numId="9">
    <w:abstractNumId w:val="5"/>
  </w:num>
  <w:num w:numId="10">
    <w:abstractNumId w:val="0"/>
  </w:num>
  <w:num w:numId="11">
    <w:abstractNumId w:val="3"/>
  </w:num>
  <w:num w:numId="12">
    <w:abstractNumId w:val="10"/>
  </w:num>
  <w:num w:numId="13">
    <w:abstractNumId w:val="5"/>
  </w:num>
  <w:num w:numId="14">
    <w:abstractNumId w:val="10"/>
  </w:num>
  <w:num w:numId="15">
    <w:abstractNumId w:val="0"/>
  </w:num>
  <w:num w:numId="16">
    <w:abstractNumId w:val="5"/>
  </w:num>
  <w:num w:numId="17">
    <w:abstractNumId w:val="10"/>
  </w:num>
  <w:num w:numId="18">
    <w:abstractNumId w:val="0"/>
  </w:num>
  <w:num w:numId="19">
    <w:abstractNumId w:val="5"/>
  </w:num>
  <w:num w:numId="20">
    <w:abstractNumId w:val="10"/>
  </w:num>
  <w:num w:numId="21">
    <w:abstractNumId w:val="0"/>
  </w:num>
  <w:num w:numId="22">
    <w:abstractNumId w:val="12"/>
  </w:num>
  <w:num w:numId="23">
    <w:abstractNumId w:val="13"/>
  </w:num>
  <w:num w:numId="2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757">
    <w:name w:val="Heading 1 Char"/>
    <w:basedOn w:val="781"/>
    <w:link w:val="772"/>
    <w:uiPriority w:val="9"/>
    <w:rPr>
      <w:rFonts w:ascii="Arial" w:hAnsi="Arial" w:eastAsia="Arial" w:cs="Arial"/>
      <w:sz w:val="40"/>
      <w:szCs w:val="40"/>
    </w:rPr>
  </w:style>
  <w:style w:type="character" w:styleId="758">
    <w:name w:val="Heading 2 Char"/>
    <w:basedOn w:val="781"/>
    <w:link w:val="773"/>
    <w:uiPriority w:val="9"/>
    <w:rPr>
      <w:rFonts w:ascii="Arial" w:hAnsi="Arial" w:eastAsia="Arial" w:cs="Arial"/>
      <w:sz w:val="34"/>
    </w:rPr>
  </w:style>
  <w:style w:type="character" w:styleId="759">
    <w:name w:val="Heading 3 Char"/>
    <w:basedOn w:val="781"/>
    <w:link w:val="774"/>
    <w:uiPriority w:val="9"/>
    <w:rPr>
      <w:rFonts w:ascii="Arial" w:hAnsi="Arial" w:eastAsia="Arial" w:cs="Arial"/>
      <w:sz w:val="30"/>
      <w:szCs w:val="30"/>
    </w:rPr>
  </w:style>
  <w:style w:type="character" w:styleId="760">
    <w:name w:val="Heading 4 Char"/>
    <w:basedOn w:val="781"/>
    <w:link w:val="775"/>
    <w:uiPriority w:val="9"/>
    <w:rPr>
      <w:rFonts w:ascii="Arial" w:hAnsi="Arial" w:eastAsia="Arial" w:cs="Arial"/>
      <w:b/>
      <w:bCs/>
      <w:sz w:val="26"/>
      <w:szCs w:val="26"/>
    </w:rPr>
  </w:style>
  <w:style w:type="character" w:styleId="761">
    <w:name w:val="Heading 5 Char"/>
    <w:basedOn w:val="781"/>
    <w:link w:val="776"/>
    <w:uiPriority w:val="9"/>
    <w:rPr>
      <w:rFonts w:ascii="Arial" w:hAnsi="Arial" w:eastAsia="Arial" w:cs="Arial"/>
      <w:b/>
      <w:bCs/>
      <w:sz w:val="24"/>
      <w:szCs w:val="24"/>
    </w:rPr>
  </w:style>
  <w:style w:type="character" w:styleId="762">
    <w:name w:val="Heading 6 Char"/>
    <w:basedOn w:val="781"/>
    <w:link w:val="777"/>
    <w:uiPriority w:val="9"/>
    <w:rPr>
      <w:rFonts w:ascii="Arial" w:hAnsi="Arial" w:eastAsia="Arial" w:cs="Arial"/>
      <w:b/>
      <w:bCs/>
      <w:sz w:val="22"/>
      <w:szCs w:val="22"/>
    </w:rPr>
  </w:style>
  <w:style w:type="character" w:styleId="763">
    <w:name w:val="Heading 7 Char"/>
    <w:basedOn w:val="781"/>
    <w:link w:val="778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764">
    <w:name w:val="Heading 8 Char"/>
    <w:basedOn w:val="781"/>
    <w:link w:val="779"/>
    <w:uiPriority w:val="9"/>
    <w:rPr>
      <w:rFonts w:ascii="Arial" w:hAnsi="Arial" w:eastAsia="Arial" w:cs="Arial"/>
      <w:i/>
      <w:iCs/>
      <w:sz w:val="22"/>
      <w:szCs w:val="22"/>
    </w:rPr>
  </w:style>
  <w:style w:type="character" w:styleId="765">
    <w:name w:val="Heading 9 Char"/>
    <w:basedOn w:val="781"/>
    <w:link w:val="780"/>
    <w:uiPriority w:val="9"/>
    <w:rPr>
      <w:rFonts w:ascii="Arial" w:hAnsi="Arial" w:eastAsia="Arial" w:cs="Arial"/>
      <w:i/>
      <w:iCs/>
      <w:sz w:val="21"/>
      <w:szCs w:val="21"/>
    </w:rPr>
  </w:style>
  <w:style w:type="character" w:styleId="766">
    <w:name w:val="Title Char"/>
    <w:basedOn w:val="781"/>
    <w:link w:val="794"/>
    <w:uiPriority w:val="10"/>
    <w:rPr>
      <w:sz w:val="48"/>
      <w:szCs w:val="48"/>
    </w:rPr>
  </w:style>
  <w:style w:type="character" w:styleId="767">
    <w:name w:val="Subtitle Char"/>
    <w:basedOn w:val="781"/>
    <w:link w:val="796"/>
    <w:uiPriority w:val="11"/>
    <w:rPr>
      <w:sz w:val="24"/>
      <w:szCs w:val="24"/>
    </w:rPr>
  </w:style>
  <w:style w:type="character" w:styleId="768">
    <w:name w:val="Quote Char"/>
    <w:link w:val="798"/>
    <w:uiPriority w:val="29"/>
    <w:rPr>
      <w:i/>
    </w:rPr>
  </w:style>
  <w:style w:type="character" w:styleId="769">
    <w:name w:val="Intense Quote Char"/>
    <w:link w:val="800"/>
    <w:uiPriority w:val="30"/>
    <w:rPr>
      <w:i/>
    </w:rPr>
  </w:style>
  <w:style w:type="character" w:styleId="770">
    <w:name w:val="Endnote Text Char"/>
    <w:link w:val="932"/>
    <w:uiPriority w:val="99"/>
    <w:rPr>
      <w:sz w:val="20"/>
    </w:rPr>
  </w:style>
  <w:style w:type="paragraph" w:styleId="771" w:default="1">
    <w:name w:val="Normal"/>
    <w:qFormat/>
    <w:rPr>
      <w:sz w:val="24"/>
      <w:szCs w:val="24"/>
    </w:rPr>
  </w:style>
  <w:style w:type="paragraph" w:styleId="772">
    <w:name w:val="Heading 1"/>
    <w:basedOn w:val="771"/>
    <w:next w:val="771"/>
    <w:link w:val="78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paragraph" w:styleId="773">
    <w:name w:val="Heading 2"/>
    <w:basedOn w:val="771"/>
    <w:next w:val="771"/>
    <w:link w:val="785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paragraph" w:styleId="774">
    <w:name w:val="Heading 3"/>
    <w:basedOn w:val="771"/>
    <w:next w:val="771"/>
    <w:link w:val="786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775">
    <w:name w:val="Heading 4"/>
    <w:basedOn w:val="771"/>
    <w:next w:val="771"/>
    <w:link w:val="787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776">
    <w:name w:val="Heading 5"/>
    <w:basedOn w:val="771"/>
    <w:next w:val="771"/>
    <w:link w:val="788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</w:rPr>
  </w:style>
  <w:style w:type="paragraph" w:styleId="777">
    <w:name w:val="Heading 6"/>
    <w:basedOn w:val="771"/>
    <w:next w:val="771"/>
    <w:link w:val="789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778">
    <w:name w:val="Heading 7"/>
    <w:basedOn w:val="771"/>
    <w:next w:val="771"/>
    <w:link w:val="790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779">
    <w:name w:val="Heading 8"/>
    <w:basedOn w:val="771"/>
    <w:next w:val="771"/>
    <w:link w:val="791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780">
    <w:name w:val="Heading 9"/>
    <w:basedOn w:val="771"/>
    <w:next w:val="771"/>
    <w:link w:val="792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81" w:default="1">
    <w:name w:val="Default Paragraph Font"/>
    <w:uiPriority w:val="1"/>
    <w:semiHidden/>
    <w:unhideWhenUsed/>
  </w:style>
  <w:style w:type="table" w:styleId="782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783" w:default="1">
    <w:name w:val="No List"/>
    <w:uiPriority w:val="99"/>
    <w:semiHidden/>
    <w:unhideWhenUsed/>
  </w:style>
  <w:style w:type="character" w:styleId="784" w:customStyle="1">
    <w:name w:val="Заголовок 1 Знак"/>
    <w:basedOn w:val="781"/>
    <w:link w:val="772"/>
    <w:uiPriority w:val="9"/>
    <w:rPr>
      <w:rFonts w:ascii="Arial" w:hAnsi="Arial" w:eastAsia="Arial" w:cs="Arial"/>
      <w:sz w:val="40"/>
      <w:szCs w:val="40"/>
    </w:rPr>
  </w:style>
  <w:style w:type="character" w:styleId="785" w:customStyle="1">
    <w:name w:val="Заголовок 2 Знак"/>
    <w:basedOn w:val="781"/>
    <w:link w:val="773"/>
    <w:uiPriority w:val="9"/>
    <w:rPr>
      <w:rFonts w:ascii="Arial" w:hAnsi="Arial" w:eastAsia="Arial" w:cs="Arial"/>
      <w:sz w:val="34"/>
    </w:rPr>
  </w:style>
  <w:style w:type="character" w:styleId="786" w:customStyle="1">
    <w:name w:val="Заголовок 3 Знак"/>
    <w:basedOn w:val="781"/>
    <w:link w:val="774"/>
    <w:uiPriority w:val="9"/>
    <w:rPr>
      <w:rFonts w:ascii="Arial" w:hAnsi="Arial" w:eastAsia="Arial" w:cs="Arial"/>
      <w:sz w:val="30"/>
      <w:szCs w:val="30"/>
    </w:rPr>
  </w:style>
  <w:style w:type="character" w:styleId="787" w:customStyle="1">
    <w:name w:val="Заголовок 4 Знак"/>
    <w:basedOn w:val="781"/>
    <w:link w:val="775"/>
    <w:uiPriority w:val="9"/>
    <w:rPr>
      <w:rFonts w:ascii="Arial" w:hAnsi="Arial" w:eastAsia="Arial" w:cs="Arial"/>
      <w:b/>
      <w:bCs/>
      <w:sz w:val="26"/>
      <w:szCs w:val="26"/>
    </w:rPr>
  </w:style>
  <w:style w:type="character" w:styleId="788" w:customStyle="1">
    <w:name w:val="Заголовок 5 Знак"/>
    <w:basedOn w:val="781"/>
    <w:link w:val="776"/>
    <w:uiPriority w:val="9"/>
    <w:rPr>
      <w:rFonts w:ascii="Arial" w:hAnsi="Arial" w:eastAsia="Arial" w:cs="Arial"/>
      <w:b/>
      <w:bCs/>
      <w:sz w:val="24"/>
      <w:szCs w:val="24"/>
    </w:rPr>
  </w:style>
  <w:style w:type="character" w:styleId="789" w:customStyle="1">
    <w:name w:val="Заголовок 6 Знак"/>
    <w:basedOn w:val="781"/>
    <w:link w:val="777"/>
    <w:uiPriority w:val="9"/>
    <w:rPr>
      <w:rFonts w:ascii="Arial" w:hAnsi="Arial" w:eastAsia="Arial" w:cs="Arial"/>
      <w:b/>
      <w:bCs/>
      <w:sz w:val="22"/>
      <w:szCs w:val="22"/>
    </w:rPr>
  </w:style>
  <w:style w:type="character" w:styleId="790" w:customStyle="1">
    <w:name w:val="Заголовок 7 Знак"/>
    <w:basedOn w:val="781"/>
    <w:link w:val="778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791" w:customStyle="1">
    <w:name w:val="Заголовок 8 Знак"/>
    <w:basedOn w:val="781"/>
    <w:link w:val="779"/>
    <w:uiPriority w:val="9"/>
    <w:rPr>
      <w:rFonts w:ascii="Arial" w:hAnsi="Arial" w:eastAsia="Arial" w:cs="Arial"/>
      <w:i/>
      <w:iCs/>
      <w:sz w:val="22"/>
      <w:szCs w:val="22"/>
    </w:rPr>
  </w:style>
  <w:style w:type="character" w:styleId="792" w:customStyle="1">
    <w:name w:val="Заголовок 9 Знак"/>
    <w:basedOn w:val="781"/>
    <w:link w:val="780"/>
    <w:uiPriority w:val="9"/>
    <w:rPr>
      <w:rFonts w:ascii="Arial" w:hAnsi="Arial" w:eastAsia="Arial" w:cs="Arial"/>
      <w:i/>
      <w:iCs/>
      <w:sz w:val="21"/>
      <w:szCs w:val="21"/>
    </w:rPr>
  </w:style>
  <w:style w:type="paragraph" w:styleId="793">
    <w:name w:val="No Spacing"/>
    <w:uiPriority w:val="1"/>
    <w:qFormat/>
  </w:style>
  <w:style w:type="paragraph" w:styleId="794">
    <w:name w:val="Title"/>
    <w:basedOn w:val="771"/>
    <w:next w:val="771"/>
    <w:link w:val="79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95" w:customStyle="1">
    <w:name w:val="Заголовок Знак"/>
    <w:basedOn w:val="781"/>
    <w:link w:val="794"/>
    <w:uiPriority w:val="10"/>
    <w:rPr>
      <w:sz w:val="48"/>
      <w:szCs w:val="48"/>
    </w:rPr>
  </w:style>
  <w:style w:type="paragraph" w:styleId="796">
    <w:name w:val="Subtitle"/>
    <w:basedOn w:val="771"/>
    <w:next w:val="771"/>
    <w:link w:val="797"/>
    <w:uiPriority w:val="11"/>
    <w:qFormat/>
    <w:pPr>
      <w:spacing w:before="200" w:after="200"/>
    </w:pPr>
  </w:style>
  <w:style w:type="character" w:styleId="797" w:customStyle="1">
    <w:name w:val="Подзаголовок Знак"/>
    <w:basedOn w:val="781"/>
    <w:link w:val="796"/>
    <w:uiPriority w:val="11"/>
    <w:rPr>
      <w:sz w:val="24"/>
      <w:szCs w:val="24"/>
    </w:rPr>
  </w:style>
  <w:style w:type="paragraph" w:styleId="798">
    <w:name w:val="Quote"/>
    <w:basedOn w:val="771"/>
    <w:next w:val="771"/>
    <w:link w:val="799"/>
    <w:uiPriority w:val="29"/>
    <w:qFormat/>
    <w:pPr>
      <w:ind w:left="720" w:right="720"/>
    </w:pPr>
    <w:rPr>
      <w:i/>
    </w:rPr>
  </w:style>
  <w:style w:type="character" w:styleId="799" w:customStyle="1">
    <w:name w:val="Цитата 2 Знак"/>
    <w:link w:val="798"/>
    <w:uiPriority w:val="29"/>
    <w:rPr>
      <w:i/>
    </w:rPr>
  </w:style>
  <w:style w:type="paragraph" w:styleId="800">
    <w:name w:val="Intense Quote"/>
    <w:basedOn w:val="771"/>
    <w:next w:val="771"/>
    <w:link w:val="801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801" w:customStyle="1">
    <w:name w:val="Выделенная цитата Знак"/>
    <w:link w:val="800"/>
    <w:uiPriority w:val="30"/>
    <w:rPr>
      <w:i/>
    </w:rPr>
  </w:style>
  <w:style w:type="character" w:styleId="802" w:customStyle="1">
    <w:name w:val="Header Char"/>
    <w:basedOn w:val="781"/>
    <w:uiPriority w:val="99"/>
  </w:style>
  <w:style w:type="character" w:styleId="803" w:customStyle="1">
    <w:name w:val="Footer Char"/>
    <w:basedOn w:val="781"/>
    <w:uiPriority w:val="99"/>
  </w:style>
  <w:style w:type="paragraph" w:styleId="804">
    <w:name w:val="Caption"/>
    <w:basedOn w:val="771"/>
    <w:next w:val="771"/>
    <w:link w:val="805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805" w:customStyle="1">
    <w:name w:val="Caption Char"/>
    <w:uiPriority w:val="99"/>
  </w:style>
  <w:style w:type="table" w:styleId="806" w:customStyle="1">
    <w:name w:val="Table Grid Light"/>
    <w:basedOn w:val="782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</w:style>
  <w:style w:type="table" w:styleId="807">
    <w:name w:val="Plain Table 1"/>
    <w:basedOn w:val="782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blStylePr w:type="band1Horz"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808">
    <w:name w:val="Plain Table 2"/>
    <w:basedOn w:val="782"/>
    <w:uiPriority w:val="59"/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809">
    <w:name w:val="Plain Table 3"/>
    <w:basedOn w:val="782"/>
    <w:uiPriority w:val="99"/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810">
    <w:name w:val="Plain Table 4"/>
    <w:basedOn w:val="782"/>
    <w:uiPriority w:val="99"/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1">
    <w:name w:val="Plain Table 5"/>
    <w:basedOn w:val="782"/>
    <w:uiPriority w:val="99"/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812">
    <w:name w:val="Grid Table 1 Light"/>
    <w:basedOn w:val="782"/>
    <w:uiPriority w:val="99"/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3" w:customStyle="1">
    <w:name w:val="Grid Table 1 Light - Accent 1"/>
    <w:basedOn w:val="782"/>
    <w:uiPriority w:val="99"/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7B4D8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4" w:customStyle="1">
    <w:name w:val="Grid Table 1 Light - Accent 2"/>
    <w:basedOn w:val="782"/>
    <w:uiPriority w:val="99"/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DA9896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5" w:customStyle="1">
    <w:name w:val="Grid Table 1 Light - Accent 3"/>
    <w:basedOn w:val="782"/>
    <w:uiPriority w:val="99"/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4D79D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6" w:customStyle="1">
    <w:name w:val="Grid Table 1 Light - Accent 4"/>
    <w:basedOn w:val="782"/>
    <w:uiPriority w:val="99"/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B4A4C8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7" w:customStyle="1">
    <w:name w:val="Grid Table 1 Light - Accent 5"/>
    <w:basedOn w:val="782"/>
    <w:uiPriority w:val="99"/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5CEDD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8" w:customStyle="1">
    <w:name w:val="Grid Table 1 Light - Accent 6"/>
    <w:basedOn w:val="782"/>
    <w:uiPriority w:val="99"/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AC192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9">
    <w:name w:val="Grid Table 2"/>
    <w:basedOn w:val="782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0" w:customStyle="1">
    <w:name w:val="Grid Table 2 - Accent 1"/>
    <w:basedOn w:val="782"/>
    <w:uiPriority w:val="99"/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D8AC2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5D8AC2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1" w:customStyle="1">
    <w:name w:val="Grid Table 2 - Accent 2"/>
    <w:basedOn w:val="782"/>
    <w:uiPriority w:val="99"/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D99695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2" w:customStyle="1">
    <w:name w:val="Grid Table 2 - Accent 3"/>
    <w:basedOn w:val="782"/>
    <w:uiPriority w:val="99"/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9ABB59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3" w:customStyle="1">
    <w:name w:val="Grid Table 2 - Accent 4"/>
    <w:basedOn w:val="782"/>
    <w:uiPriority w:val="99"/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B2A1C6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4" w:customStyle="1">
    <w:name w:val="Grid Table 2 - Accent 5"/>
    <w:basedOn w:val="782"/>
    <w:uiPriority w:val="99"/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5" w:customStyle="1">
    <w:name w:val="Grid Table 2 - Accent 6"/>
    <w:basedOn w:val="782"/>
    <w:uiPriority w:val="99"/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6">
    <w:name w:val="Grid Table 3"/>
    <w:basedOn w:val="782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7" w:customStyle="1">
    <w:name w:val="Grid Table 3 - Accent 1"/>
    <w:basedOn w:val="782"/>
    <w:uiPriority w:val="99"/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8" w:customStyle="1">
    <w:name w:val="Grid Table 3 - Accent 2"/>
    <w:basedOn w:val="782"/>
    <w:uiPriority w:val="99"/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9" w:customStyle="1">
    <w:name w:val="Grid Table 3 - Accent 3"/>
    <w:basedOn w:val="782"/>
    <w:uiPriority w:val="99"/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0" w:customStyle="1">
    <w:name w:val="Grid Table 3 - Accent 4"/>
    <w:basedOn w:val="782"/>
    <w:uiPriority w:val="99"/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1" w:customStyle="1">
    <w:name w:val="Grid Table 3 - Accent 5"/>
    <w:basedOn w:val="782"/>
    <w:uiPriority w:val="99"/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2" w:customStyle="1">
    <w:name w:val="Grid Table 3 - Accent 6"/>
    <w:basedOn w:val="782"/>
    <w:uiPriority w:val="99"/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3">
    <w:name w:val="Grid Table 4"/>
    <w:basedOn w:val="782"/>
    <w:uiPriority w:val="59"/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834" w:customStyle="1">
    <w:name w:val="Grid Table 4 - Accent 1"/>
    <w:basedOn w:val="782"/>
    <w:uiPriority w:val="59"/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d8ac2" w:themeColor="accent1" w:themeTint="EA" w:fill="5d8ac2" w:themeFill="accent1" w:themeFillTint="EA"/>
        <w:tcBorders>
          <w:top w:val="single" w:color="5D8AC2" w:themeColor="accent1" w:themeTint="EA" w:sz="4" w:space="0"/>
          <w:left w:val="single" w:color="5D8AC2" w:themeColor="accent1" w:themeTint="EA" w:sz="4" w:space="0"/>
          <w:bottom w:val="single" w:color="5D8AC2" w:themeColor="accent1" w:themeTint="EA" w:sz="4" w:space="0"/>
          <w:right w:val="single" w:color="5D8AC2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D8AC2" w:themeColor="accent1" w:themeTint="EA" w:sz="4" w:space="0"/>
        </w:tcBorders>
      </w:tcPr>
    </w:tblStylePr>
  </w:style>
  <w:style w:type="table" w:styleId="835" w:customStyle="1">
    <w:name w:val="Grid Table 4 - Accent 2"/>
    <w:basedOn w:val="782"/>
    <w:uiPriority w:val="59"/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4" w:space="0"/>
          <w:left w:val="single" w:color="D99695" w:themeColor="accent2" w:themeTint="97" w:sz="4" w:space="0"/>
          <w:bottom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D99695" w:themeColor="accent2" w:themeTint="97" w:sz="4" w:space="0"/>
        </w:tcBorders>
      </w:tcPr>
    </w:tblStylePr>
  </w:style>
  <w:style w:type="table" w:styleId="836" w:customStyle="1">
    <w:name w:val="Grid Table 4 - Accent 3"/>
    <w:basedOn w:val="782"/>
    <w:uiPriority w:val="59"/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abb59" w:themeColor="accent3" w:themeTint="FE" w:fill="9abb59" w:themeFill="accent3" w:themeFillTint="FE"/>
        <w:tcBorders>
          <w:top w:val="single" w:color="9ABB59" w:themeColor="accent3" w:themeTint="FE" w:sz="4" w:space="0"/>
          <w:left w:val="single" w:color="9ABB59" w:themeColor="accent3" w:themeTint="FE" w:sz="4" w:space="0"/>
          <w:bottom w:val="single" w:color="9ABB59" w:themeColor="accent3" w:themeTint="FE" w:sz="4" w:space="0"/>
          <w:right w:val="single" w:color="9ABB59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ABB59" w:themeColor="accent3" w:themeTint="FE" w:sz="4" w:space="0"/>
        </w:tcBorders>
      </w:tcPr>
    </w:tblStylePr>
  </w:style>
  <w:style w:type="table" w:styleId="837" w:customStyle="1">
    <w:name w:val="Grid Table 4 - Accent 4"/>
    <w:basedOn w:val="782"/>
    <w:uiPriority w:val="59"/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</w:tcBorders>
      </w:tcPr>
    </w:tblStylePr>
  </w:style>
  <w:style w:type="table" w:styleId="838" w:customStyle="1">
    <w:name w:val="Grid Table 4 - Accent 5"/>
    <w:basedOn w:val="782"/>
    <w:uiPriority w:val="59"/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</w:tcBorders>
      </w:tcPr>
    </w:tblStylePr>
  </w:style>
  <w:style w:type="table" w:styleId="839" w:customStyle="1">
    <w:name w:val="Grid Table 4 - Accent 6"/>
    <w:basedOn w:val="782"/>
    <w:uiPriority w:val="59"/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</w:tcBorders>
      </w:tcPr>
    </w:tblStylePr>
  </w:style>
  <w:style w:type="table" w:styleId="840">
    <w:name w:val="Grid Table 5 Dark"/>
    <w:basedOn w:val="782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841" w:customStyle="1">
    <w:name w:val="Grid Table 5 Dark- Accent 1"/>
    <w:basedOn w:val="782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5f1" w:themeColor="accent1" w:themeTint="34" w:fill="dae5f1" w:themeFill="accent1" w:themeFillTint="34"/>
    </w:tblPr>
    <w:tblStylePr w:type="band1Horz">
      <w:tcPr>
        <w:shd w:val="clear" w:color="aec4e0" w:themeColor="accent1" w:themeTint="75" w:fill="aec4e0" w:themeFill="accent1" w:themeFillTint="75"/>
      </w:tcPr>
    </w:tblStylePr>
    <w:tblStylePr w:type="band1Vert">
      <w:tcPr>
        <w:shd w:val="clear" w:color="aec4e0" w:themeColor="accent1" w:themeTint="75" w:fill="aec4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  <w:tcBorders>
          <w:top w:val="single" w:color="FFFFFF" w:themeColor="light1" w:sz="4" w:space="0"/>
        </w:tcBorders>
      </w:tcPr>
    </w:tblStylePr>
  </w:style>
  <w:style w:type="table" w:styleId="842" w:customStyle="1">
    <w:name w:val="Grid Table 5 Dark - Accent 2"/>
    <w:basedOn w:val="782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2dcdc" w:themeColor="accent2" w:themeTint="32" w:fill="f2dcdc" w:themeFill="accent2" w:themeFillTint="32"/>
    </w:tblPr>
    <w:tblStylePr w:type="band1Horz">
      <w:tcPr>
        <w:shd w:val="clear" w:color="e2aead" w:themeColor="accent2" w:themeTint="75" w:fill="e2aead" w:themeFill="accent2" w:themeFillTint="75"/>
      </w:tcPr>
    </w:tblStylePr>
    <w:tblStylePr w:type="band1Vert">
      <w:tcPr>
        <w:shd w:val="clear" w:color="e2aead" w:themeColor="accent2" w:themeTint="75" w:fill="e2aead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  <w:tcBorders>
          <w:top w:val="single" w:color="FFFFFF" w:themeColor="light1" w:sz="4" w:space="0"/>
        </w:tcBorders>
      </w:tcPr>
    </w:tblStylePr>
  </w:style>
  <w:style w:type="table" w:styleId="843" w:customStyle="1">
    <w:name w:val="Grid Table 5 Dark - Accent 3"/>
    <w:basedOn w:val="782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af1dc" w:themeColor="accent3" w:themeTint="34" w:fill="eaf1dc" w:themeFill="accent3" w:themeFillTint="34"/>
    </w:tblPr>
    <w:tblStylePr w:type="band1Horz">
      <w:tcPr>
        <w:shd w:val="clear" w:color="d0dfb2" w:themeColor="accent3" w:themeTint="75" w:fill="d0dfb2" w:themeFill="accent3" w:themeFillTint="75"/>
      </w:tcPr>
    </w:tblStylePr>
    <w:tblStylePr w:type="band1Vert">
      <w:tcPr>
        <w:shd w:val="clear" w:color="d0dfb2" w:themeColor="accent3" w:themeTint="75" w:fill="d0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  <w:tcBorders>
          <w:top w:val="single" w:color="FFFFFF" w:themeColor="light1" w:sz="4" w:space="0"/>
        </w:tcBorders>
      </w:tcPr>
    </w:tblStylePr>
  </w:style>
  <w:style w:type="table" w:styleId="844" w:customStyle="1">
    <w:name w:val="Grid Table 5 Dark- Accent 4"/>
    <w:basedOn w:val="782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5dfec" w:themeColor="accent4" w:themeTint="34" w:fill="e5dfec" w:themeFill="accent4" w:themeFillTint="34"/>
    </w:tblPr>
    <w:tblStylePr w:type="band1Horz">
      <w:tcPr>
        <w:shd w:val="clear" w:color="c4b7d4" w:themeColor="accent4" w:themeTint="75" w:fill="c4b7d4" w:themeFill="accent4" w:themeFillTint="75"/>
      </w:tcPr>
    </w:tblStylePr>
    <w:tblStylePr w:type="band1Vert">
      <w:tcPr>
        <w:shd w:val="clear" w:color="c4b7d4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  <w:tcBorders>
          <w:top w:val="single" w:color="FFFFFF" w:themeColor="light1" w:sz="4" w:space="0"/>
        </w:tcBorders>
      </w:tcPr>
    </w:tblStylePr>
  </w:style>
  <w:style w:type="table" w:styleId="845" w:customStyle="1">
    <w:name w:val="Grid Table 5 Dark - Accent 5"/>
    <w:basedOn w:val="782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ef3" w:themeColor="accent5" w:themeTint="34" w:fill="daeef3" w:themeFill="accent5" w:themeFillTint="34"/>
    </w:tblPr>
    <w:tblStylePr w:type="band1Horz">
      <w:tcPr>
        <w:shd w:val="clear" w:color="acd8e4" w:themeColor="accent5" w:themeTint="75" w:fill="acd8e4" w:themeFill="accent5" w:themeFillTint="75"/>
      </w:tcPr>
    </w:tblStylePr>
    <w:tblStylePr w:type="band1Vert">
      <w:tcPr>
        <w:shd w:val="clear" w:color="acd8e4" w:themeColor="accent5" w:themeTint="75" w:fill="acd8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FFFFFF" w:themeColor="light1" w:sz="4" w:space="0"/>
        </w:tcBorders>
      </w:tcPr>
    </w:tblStylePr>
  </w:style>
  <w:style w:type="table" w:styleId="846" w:customStyle="1">
    <w:name w:val="Grid Table 5 Dark - Accent 6"/>
    <w:basedOn w:val="782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de9d8" w:themeColor="accent6" w:themeTint="34" w:fill="fde9d8" w:themeFill="accent6" w:themeFillTint="34"/>
    </w:tblPr>
    <w:tblStylePr w:type="band1Horz">
      <w:tcPr>
        <w:shd w:val="clear" w:color="fbceaa" w:themeColor="accent6" w:themeTint="75" w:fill="fbceaa" w:themeFill="accent6" w:themeFillTint="75"/>
      </w:tcPr>
    </w:tblStylePr>
    <w:tblStylePr w:type="band1Vert">
      <w:tcPr>
        <w:shd w:val="clear" w:color="fbceaa" w:themeColor="accent6" w:themeTint="75" w:fill="fbceaa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FFFFF" w:themeColor="light1" w:sz="4" w:space="0"/>
        </w:tcBorders>
      </w:tcPr>
    </w:tblStylePr>
  </w:style>
  <w:style w:type="table" w:styleId="847">
    <w:name w:val="Grid Table 6 Colorful"/>
    <w:basedOn w:val="782"/>
    <w:uiPriority w:val="99"/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848" w:customStyle="1">
    <w:name w:val="Grid Table 6 Colorful - Accent 1"/>
    <w:basedOn w:val="782"/>
    <w:uiPriority w:val="99"/>
    <w:tblPr>
      <w:tblStyleRowBandSize w:val="1"/>
      <w:tblStyleColBandSize w:val="1"/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b/>
        <w:color w:val="a6bfdd" w:themeColor="accent1" w:themeTint="80" w:themeShade="95"/>
      </w:rPr>
    </w:tblStylePr>
    <w:tblStylePr w:type="firstRow">
      <w:rPr>
        <w:b/>
        <w:color w:val="a6bfdd" w:themeColor="accent1" w:themeTint="80" w:themeShade="95"/>
      </w:rPr>
      <w:tcPr>
        <w:tcBorders>
          <w:bottom w:val="single" w:color="A6BFDD" w:themeColor="accent1" w:themeTint="80" w:sz="12" w:space="0"/>
        </w:tcBorders>
      </w:tcPr>
    </w:tblStylePr>
    <w:tblStylePr w:type="lastCol">
      <w:rPr>
        <w:b/>
        <w:color w:val="a6bfdd" w:themeColor="accent1" w:themeTint="80" w:themeShade="95"/>
      </w:rPr>
    </w:tblStylePr>
    <w:tblStylePr w:type="lastRow">
      <w:rPr>
        <w:b/>
        <w:color w:val="a6bfdd" w:themeColor="accent1" w:themeTint="80" w:themeShade="95"/>
      </w:rPr>
    </w:tblStylePr>
  </w:style>
  <w:style w:type="table" w:styleId="849" w:customStyle="1">
    <w:name w:val="Grid Table 6 Colorful - Accent 2"/>
    <w:basedOn w:val="782"/>
    <w:uiPriority w:val="99"/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</w:tblStylePr>
  </w:style>
  <w:style w:type="table" w:styleId="850" w:customStyle="1">
    <w:name w:val="Grid Table 6 Colorful - Accent 3"/>
    <w:basedOn w:val="782"/>
    <w:uiPriority w:val="99"/>
    <w:tblPr>
      <w:tblStyleRowBandSize w:val="1"/>
      <w:tblStyleColBandSize w:val="1"/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b/>
        <w:color w:val="9abb59" w:themeColor="accent3" w:themeTint="FE" w:themeShade="95"/>
      </w:rPr>
    </w:tblStylePr>
    <w:tblStylePr w:type="firstRow">
      <w:rPr>
        <w:b/>
        <w:color w:val="9abb59" w:themeColor="accent3" w:themeTint="FE" w:themeShade="95"/>
      </w:rPr>
      <w:tcPr>
        <w:tcBorders>
          <w:bottom w:val="single" w:color="9ABB59" w:themeColor="accent3" w:themeTint="FE" w:sz="12" w:space="0"/>
        </w:tcBorders>
      </w:tcPr>
    </w:tblStylePr>
    <w:tblStylePr w:type="lastCol">
      <w:rPr>
        <w:b/>
        <w:color w:val="9abb59" w:themeColor="accent3" w:themeTint="FE" w:themeShade="95"/>
      </w:rPr>
    </w:tblStylePr>
    <w:tblStylePr w:type="lastRow">
      <w:rPr>
        <w:b/>
        <w:color w:val="9abb59" w:themeColor="accent3" w:themeTint="FE" w:themeShade="95"/>
      </w:rPr>
    </w:tblStylePr>
  </w:style>
  <w:style w:type="table" w:styleId="851" w:customStyle="1">
    <w:name w:val="Grid Table 6 Colorful - Accent 4"/>
    <w:basedOn w:val="782"/>
    <w:uiPriority w:val="99"/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</w:tblStylePr>
  </w:style>
  <w:style w:type="table" w:styleId="852" w:customStyle="1">
    <w:name w:val="Grid Table 6 Colorful - Accent 5"/>
    <w:basedOn w:val="782"/>
    <w:uiPriority w:val="99"/>
    <w:tblPr>
      <w:tblStyleRowBandSize w:val="1"/>
      <w:tblStyleColBandSize w:val="1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4BACC6" w:themeColor="accent5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853" w:customStyle="1">
    <w:name w:val="Grid Table 6 Colorful - Accent 6"/>
    <w:basedOn w:val="782"/>
    <w:uiPriority w:val="99"/>
    <w:tblPr>
      <w:tblStyleRowBandSize w:val="1"/>
      <w:tblStyleColBandSize w:val="1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F79646" w:themeColor="accent6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854">
    <w:name w:val="Grid Table 7 Colorful"/>
    <w:basedOn w:val="782"/>
    <w:uiPriority w:val="99"/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5" w:customStyle="1">
    <w:name w:val="Grid Table 7 Colorful - Accent 1"/>
    <w:basedOn w:val="782"/>
    <w:uiPriority w:val="99"/>
    <w:tblPr>
      <w:tblStyleRowBandSize w:val="1"/>
      <w:tblStyleColBandSize w:val="1"/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rFonts w:ascii="Arial" w:hAnsi="Arial"/>
        <w:i/>
        <w:color w:val="a6bfdd" w:themeColor="accen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6BFDD" w:themeColor="accent1" w:themeTint="80" w:sz="4" w:space="0"/>
        </w:tcBorders>
      </w:tcPr>
    </w:tblStylePr>
    <w:tblStylePr w:type="firstRow">
      <w:rPr>
        <w:rFonts w:ascii="Arial" w:hAnsi="Arial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6BFDD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A6BFDD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A6BFDD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6" w:customStyle="1">
    <w:name w:val="Grid Table 7 Colorful - Accent 2"/>
    <w:basedOn w:val="782"/>
    <w:uiPriority w:val="99"/>
    <w:tblPr>
      <w:tblStyleRowBandSize w:val="1"/>
      <w:tblStyleColBandSize w:val="1"/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7" w:customStyle="1">
    <w:name w:val="Grid Table 7 Colorful - Accent 3"/>
    <w:basedOn w:val="782"/>
    <w:uiPriority w:val="99"/>
    <w:tblPr>
      <w:tblStyleRowBandSize w:val="1"/>
      <w:tblStyleColBandSize w:val="1"/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rFonts w:ascii="Arial" w:hAnsi="Arial"/>
        <w:i/>
        <w:color w:val="9abb59" w:themeColor="accent3" w:themeTint="FE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ABB59" w:themeColor="accent3" w:themeTint="FE" w:sz="4" w:space="0"/>
        </w:tcBorders>
      </w:tcPr>
    </w:tblStylePr>
    <w:tblStylePr w:type="firstRow">
      <w:rPr>
        <w:rFonts w:ascii="Arial" w:hAnsi="Arial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ABB59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cPr>
        <w:shd w:val="clear" w:color="ffffff" w:fill="auto"/>
        <w:tcBorders>
          <w:top w:val="none" w:color="000000" w:sz="4" w:space="0"/>
          <w:left w:val="single" w:color="9ABB59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8" w:customStyle="1">
    <w:name w:val="Grid Table 7 Colorful - Accent 4"/>
    <w:basedOn w:val="782"/>
    <w:uiPriority w:val="99"/>
    <w:tblPr>
      <w:tblStyleRowBandSize w:val="1"/>
      <w:tblStyleColBandSize w:val="1"/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9" w:customStyle="1">
    <w:name w:val="Grid Table 7 Colorful - Accent 5"/>
    <w:basedOn w:val="782"/>
    <w:uiPriority w:val="99"/>
    <w:tblPr>
      <w:tblStyleRowBandSize w:val="1"/>
      <w:tblStyleColBandSize w:val="1"/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rFonts w:ascii="Arial" w:hAnsi="Arial"/>
        <w:i/>
        <w:color w:val="266779" w:themeColor="accent5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9D0DE" w:themeColor="accent5" w:themeTint="90" w:sz="4" w:space="0"/>
        </w:tcBorders>
      </w:tcPr>
    </w:tblStylePr>
    <w:tblStylePr w:type="firstRow">
      <w:rPr>
        <w:rFonts w:ascii="Arial" w:hAnsi="Arial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cPr>
        <w:shd w:val="clear" w:color="ffffff" w:fill="auto"/>
        <w:tcBorders>
          <w:top w:val="none" w:color="000000" w:sz="4" w:space="0"/>
          <w:left w:val="single" w:color="99D0DE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single" w:color="99D0DE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0" w:customStyle="1">
    <w:name w:val="Grid Table 7 Colorful - Accent 6"/>
    <w:basedOn w:val="782"/>
    <w:uiPriority w:val="99"/>
    <w:tblPr>
      <w:tblStyleRowBandSize w:val="1"/>
      <w:tblStyleColBandSize w:val="1"/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band1Horz">
      <w:rPr>
        <w:rFonts w:ascii="Arial" w:hAnsi="Arial"/>
        <w:color w:val="b15407" w:themeColor="accent6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  <w:tblStylePr w:type="firstCol">
      <w:rPr>
        <w:rFonts w:ascii="Arial" w:hAnsi="Arial"/>
        <w:i/>
        <w:color w:val="b15407" w:themeColor="accent6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396" w:themeColor="accent6" w:themeTint="90" w:sz="4" w:space="0"/>
        </w:tcBorders>
      </w:tcPr>
    </w:tblStylePr>
    <w:tblStylePr w:type="firstRow">
      <w:rPr>
        <w:rFonts w:ascii="Arial" w:hAnsi="Arial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cPr>
        <w:shd w:val="clear" w:color="ffffff" w:fill="auto"/>
        <w:tcBorders>
          <w:top w:val="none" w:color="000000" w:sz="4" w:space="0"/>
          <w:left w:val="single" w:color="FAC396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single" w:color="FAC396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1">
    <w:name w:val="List Table 1 Light"/>
    <w:basedOn w:val="782"/>
    <w:uiPriority w:val="99"/>
    <w:tblPr>
      <w:tblStyleRowBandSize w:val="1"/>
      <w:tblStyleColBandSize w:val="1"/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2" w:customStyle="1">
    <w:name w:val="List Table 1 Light - Accent 1"/>
    <w:basedOn w:val="782"/>
    <w:uiPriority w:val="99"/>
    <w:tblPr>
      <w:tblStyleRowBandSize w:val="1"/>
      <w:tblStyleColBandSize w:val="1"/>
    </w:tblPr>
    <w:tblStylePr w:type="band1Horz"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3" w:customStyle="1">
    <w:name w:val="List Table 1 Light - Accent 2"/>
    <w:basedOn w:val="782"/>
    <w:uiPriority w:val="99"/>
    <w:tblPr>
      <w:tblStyleRowBandSize w:val="1"/>
      <w:tblStyleColBandSize w:val="1"/>
    </w:tblPr>
    <w:tblStylePr w:type="band1Horz"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4" w:customStyle="1">
    <w:name w:val="List Table 1 Light - Accent 3"/>
    <w:basedOn w:val="782"/>
    <w:uiPriority w:val="99"/>
    <w:tblPr>
      <w:tblStyleRowBandSize w:val="1"/>
      <w:tblStyleColBandSize w:val="1"/>
    </w:tblPr>
    <w:tblStylePr w:type="band1Horz"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5" w:customStyle="1">
    <w:name w:val="List Table 1 Light - Accent 4"/>
    <w:basedOn w:val="782"/>
    <w:uiPriority w:val="99"/>
    <w:tblPr>
      <w:tblStyleRowBandSize w:val="1"/>
      <w:tblStyleColBandSize w:val="1"/>
    </w:tblPr>
    <w:tblStylePr w:type="band1Horz"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6" w:customStyle="1">
    <w:name w:val="List Table 1 Light - Accent 5"/>
    <w:basedOn w:val="782"/>
    <w:uiPriority w:val="99"/>
    <w:tblPr>
      <w:tblStyleRowBandSize w:val="1"/>
      <w:tblStyleColBandSize w:val="1"/>
    </w:tblPr>
    <w:tblStylePr w:type="band1Horz"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7" w:customStyle="1">
    <w:name w:val="List Table 1 Light - Accent 6"/>
    <w:basedOn w:val="782"/>
    <w:uiPriority w:val="99"/>
    <w:tblPr>
      <w:tblStyleRowBandSize w:val="1"/>
      <w:tblStyleColBandSize w:val="1"/>
    </w:tblPr>
    <w:tblStylePr w:type="band1Horz"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8">
    <w:name w:val="List Table 2"/>
    <w:basedOn w:val="782"/>
    <w:uiPriority w:val="99"/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869" w:customStyle="1">
    <w:name w:val="List Table 2 - Accent 1"/>
    <w:basedOn w:val="782"/>
    <w:uiPriority w:val="99"/>
    <w:tblPr>
      <w:tblStyleRowBandSize w:val="1"/>
      <w:tblStyleColBandSize w:val="1"/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</w:style>
  <w:style w:type="table" w:styleId="870" w:customStyle="1">
    <w:name w:val="List Table 2 - Accent 2"/>
    <w:basedOn w:val="782"/>
    <w:uiPriority w:val="99"/>
    <w:tblPr>
      <w:tblStyleRowBandSize w:val="1"/>
      <w:tblStyleColBandSize w:val="1"/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</w:style>
  <w:style w:type="table" w:styleId="871" w:customStyle="1">
    <w:name w:val="List Table 2 - Accent 3"/>
    <w:basedOn w:val="782"/>
    <w:uiPriority w:val="99"/>
    <w:tblPr>
      <w:tblStyleRowBandSize w:val="1"/>
      <w:tblStyleColBandSize w:val="1"/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</w:style>
  <w:style w:type="table" w:styleId="872" w:customStyle="1">
    <w:name w:val="List Table 2 - Accent 4"/>
    <w:basedOn w:val="782"/>
    <w:uiPriority w:val="99"/>
    <w:tblPr>
      <w:tblStyleRowBandSize w:val="1"/>
      <w:tblStyleColBandSize w:val="1"/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</w:style>
  <w:style w:type="table" w:styleId="873" w:customStyle="1">
    <w:name w:val="List Table 2 - Accent 5"/>
    <w:basedOn w:val="782"/>
    <w:uiPriority w:val="99"/>
    <w:tblPr>
      <w:tblStyleRowBandSize w:val="1"/>
      <w:tblStyleColBandSize w:val="1"/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</w:style>
  <w:style w:type="table" w:styleId="874" w:customStyle="1">
    <w:name w:val="List Table 2 - Accent 6"/>
    <w:basedOn w:val="782"/>
    <w:uiPriority w:val="99"/>
    <w:tblPr>
      <w:tblStyleRowBandSize w:val="1"/>
      <w:tblStyleColBandSize w:val="1"/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</w:style>
  <w:style w:type="table" w:styleId="875">
    <w:name w:val="List Table 3"/>
    <w:basedOn w:val="782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6" w:customStyle="1">
    <w:name w:val="List Table 3 - Accent 1"/>
    <w:basedOn w:val="782"/>
    <w:uiPriority w:val="99"/>
    <w:tblPr>
      <w:tblStyleRowBandSize w:val="1"/>
      <w:tblStyleColBandSize w:val="1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7" w:customStyle="1">
    <w:name w:val="List Table 3 - Accent 2"/>
    <w:basedOn w:val="782"/>
    <w:uiPriority w:val="99"/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99695" w:themeColor="accent2" w:themeTint="97" w:sz="4" w:space="0"/>
          <w:bottom w:val="single" w:color="D99695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8" w:customStyle="1">
    <w:name w:val="List Table 3 - Accent 3"/>
    <w:basedOn w:val="782"/>
    <w:uiPriority w:val="99"/>
    <w:tblPr>
      <w:tblStyleRowBandSize w:val="1"/>
      <w:tblStyleColBandSize w:val="1"/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3D69B" w:themeColor="accent3" w:themeTint="98" w:sz="4" w:space="0"/>
          <w:bottom w:val="single" w:color="C3D69B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3D69B" w:themeColor="accent3" w:themeTint="98" w:sz="4" w:space="0"/>
          <w:right w:val="single" w:color="C3D69B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3d69b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9" w:customStyle="1">
    <w:name w:val="List Table 3 - Accent 4"/>
    <w:basedOn w:val="782"/>
    <w:uiPriority w:val="99"/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0" w:customStyle="1">
    <w:name w:val="List Table 3 - Accent 5"/>
    <w:basedOn w:val="782"/>
    <w:uiPriority w:val="99"/>
    <w:tblPr>
      <w:tblStyleRowBandSize w:val="1"/>
      <w:tblStyleColBandSize w:val="1"/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2ccdc" w:themeColor="accent5" w:themeTint="9A" w:fill="92cc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1" w:customStyle="1">
    <w:name w:val="List Table 3 - Accent 6"/>
    <w:basedOn w:val="782"/>
    <w:uiPriority w:val="99"/>
    <w:tblPr>
      <w:tblStyleRowBandSize w:val="1"/>
      <w:tblStyleColBandSize w:val="1"/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ac090" w:themeColor="accent6" w:themeTint="98" w:fill="fac0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2">
    <w:name w:val="List Table 4"/>
    <w:basedOn w:val="782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3" w:customStyle="1">
    <w:name w:val="List Table 4 - Accent 1"/>
    <w:basedOn w:val="782"/>
    <w:uiPriority w:val="99"/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4" w:customStyle="1">
    <w:name w:val="List Table 4 - Accent 2"/>
    <w:basedOn w:val="782"/>
    <w:uiPriority w:val="99"/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5" w:customStyle="1">
    <w:name w:val="List Table 4 - Accent 3"/>
    <w:basedOn w:val="782"/>
    <w:uiPriority w:val="99"/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6" w:customStyle="1">
    <w:name w:val="List Table 4 - Accent 4"/>
    <w:basedOn w:val="782"/>
    <w:uiPriority w:val="99"/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7" w:customStyle="1">
    <w:name w:val="List Table 4 - Accent 5"/>
    <w:basedOn w:val="782"/>
    <w:uiPriority w:val="99"/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8" w:customStyle="1">
    <w:name w:val="List Table 4 - Accent 6"/>
    <w:basedOn w:val="782"/>
    <w:uiPriority w:val="99"/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9">
    <w:name w:val="List Table 5 Dark"/>
    <w:basedOn w:val="782"/>
    <w:uiPriority w:val="99"/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</w:tblPr>
    <w:tblStylePr w:type="band1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90" w:customStyle="1">
    <w:name w:val="List Table 5 Dark - Accent 1"/>
    <w:basedOn w:val="782"/>
    <w:uiPriority w:val="99"/>
    <w:tblPr>
      <w:tblStyleRowBandSize w:val="1"/>
      <w:tblStyleColBandSize w:val="1"/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  <w:shd w:val="clear" w:color="4f81bd" w:themeColor="accent1" w:fill="4f81bd" w:themeFill="accent1"/>
    </w:tblPr>
    <w:tblStylePr w:type="band1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4f81bd" w:themeColor="accent1" w:fill="4f81bd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4f81bd" w:themeColor="accent1" w:fill="4f81bd" w:themeFill="accent1"/>
        <w:tcBorders>
          <w:top w:val="single" w:color="4F81BD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91" w:customStyle="1">
    <w:name w:val="List Table 5 Dark - Accent 2"/>
    <w:basedOn w:val="782"/>
    <w:uiPriority w:val="99"/>
    <w:tblPr>
      <w:tblStyleRowBandSize w:val="1"/>
      <w:tblStyleColBandSize w:val="1"/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  <w:shd w:val="clear" w:color="d99695" w:themeColor="accent2" w:themeTint="97" w:fill="d99695" w:themeFill="accent2" w:themeFillTint="97"/>
    </w:tblPr>
    <w:tblStylePr w:type="band1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d99695" w:themeColor="accent2" w:themeTint="97" w:fill="d99695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D99695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D99695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92" w:customStyle="1">
    <w:name w:val="List Table 5 Dark - Accent 3"/>
    <w:basedOn w:val="782"/>
    <w:uiPriority w:val="99"/>
    <w:tblPr>
      <w:tblStyleRowBandSize w:val="1"/>
      <w:tblStyleColBandSize w:val="1"/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  <w:shd w:val="clear" w:color="c3d69b" w:themeColor="accent3" w:themeTint="98" w:fill="c3d69b" w:themeFill="accent3" w:themeFillTint="98"/>
    </w:tblPr>
    <w:tblStylePr w:type="band1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c3d69b" w:themeColor="accent3" w:themeTint="98" w:fill="c3d69b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3D69B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c3d69b" w:themeColor="accent3" w:themeTint="98" w:fill="c3d69b" w:themeFill="accent3" w:themeFillTint="98"/>
        <w:tcBorders>
          <w:top w:val="single" w:color="C3D69B" w:themeColor="accent3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3D69B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93" w:customStyle="1">
    <w:name w:val="List Table 5 Dark - Accent 4"/>
    <w:basedOn w:val="782"/>
    <w:uiPriority w:val="99"/>
    <w:tblPr>
      <w:tblStyleRowBandSize w:val="1"/>
      <w:tblStyleColBandSize w:val="1"/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  <w:shd w:val="clear" w:color="b2a1c6" w:themeColor="accent4" w:themeTint="9A" w:fill="b2a1c6" w:themeFill="accent4" w:themeFillTint="9A"/>
    </w:tblPr>
    <w:tblStylePr w:type="band1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b2a1c6" w:themeColor="accent4" w:themeTint="9A" w:fill="b2a1c6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94" w:customStyle="1">
    <w:name w:val="List Table 5 Dark - Accent 5"/>
    <w:basedOn w:val="782"/>
    <w:uiPriority w:val="99"/>
    <w:tblPr>
      <w:tblStyleRowBandSize w:val="1"/>
      <w:tblStyleColBandSize w:val="1"/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  <w:shd w:val="clear" w:color="92ccdc" w:themeColor="accent5" w:themeTint="9A" w:fill="92ccdc" w:themeFill="accent5" w:themeFillTint="9A"/>
    </w:tblPr>
    <w:tblStylePr w:type="band1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92ccdc" w:themeColor="accent5" w:themeTint="9A" w:fill="92ccdc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92ccdc" w:themeColor="accent5" w:themeTint="9A" w:fill="92ccdc" w:themeFill="accent5" w:themeFillTint="9A"/>
        <w:tcBorders>
          <w:top w:val="single" w:color="92CCDC" w:themeColor="accent5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95" w:customStyle="1">
    <w:name w:val="List Table 5 Dark - Accent 6"/>
    <w:basedOn w:val="782"/>
    <w:uiPriority w:val="99"/>
    <w:tblPr>
      <w:tblStyleRowBandSize w:val="1"/>
      <w:tblStyleColBandSize w:val="1"/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  <w:shd w:val="clear" w:color="fac090" w:themeColor="accent6" w:themeTint="98" w:fill="fac090" w:themeFill="accent6" w:themeFillTint="98"/>
    </w:tblPr>
    <w:tblStylePr w:type="band1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ac090" w:themeColor="accent6" w:themeTint="98" w:fill="fac090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ac090" w:themeColor="accent6" w:themeTint="98" w:fill="fac090" w:themeFill="accent6" w:themeFillTint="98"/>
        <w:tcBorders>
          <w:top w:val="single" w:color="FAC090" w:themeColor="accent6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96">
    <w:name w:val="List Table 6 Colorful"/>
    <w:basedOn w:val="782"/>
    <w:uiPriority w:val="99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band1Horz">
      <w:rPr>
        <w:rFonts w:ascii="Arial" w:hAnsi="Arial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897" w:customStyle="1">
    <w:name w:val="List Table 6 Colorful - Accent 1"/>
    <w:basedOn w:val="782"/>
    <w:uiPriority w:val="99"/>
    <w:tblPr>
      <w:tblStyleRowBandSize w:val="1"/>
      <w:tblStyleColBandSize w:val="1"/>
      <w:tblBorders>
        <w:top w:val="single" w:color="4F81BD" w:themeColor="accent1" w:sz="4" w:space="0"/>
        <w:bottom w:val="single" w:color="4F81BD" w:themeColor="accent1" w:sz="4" w:space="0"/>
      </w:tblBorders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b/>
        <w:color w:val="2a4a71" w:themeColor="accent1" w:themeShade="95"/>
      </w:rPr>
    </w:tblStylePr>
    <w:tblStylePr w:type="firstRow">
      <w:rPr>
        <w:b/>
        <w:color w:val="2a4a71" w:themeColor="accent1" w:themeShade="95"/>
      </w:rPr>
      <w:tcPr>
        <w:tcBorders>
          <w:bottom w:val="single" w:color="4F81BD" w:themeColor="accent1" w:sz="4" w:space="0"/>
        </w:tcBorders>
      </w:tcPr>
    </w:tblStylePr>
    <w:tblStylePr w:type="lastCol">
      <w:rPr>
        <w:b/>
        <w:color w:val="2a4a71" w:themeColor="accent1" w:themeShade="95"/>
      </w:rPr>
    </w:tblStylePr>
    <w:tblStylePr w:type="lastRow">
      <w:rPr>
        <w:b/>
        <w:color w:val="2a4a71" w:themeColor="accent1" w:themeShade="95"/>
      </w:rPr>
      <w:tcPr>
        <w:tcBorders>
          <w:top w:val="single" w:color="4F81BD" w:themeColor="accent1" w:sz="4" w:space="0"/>
        </w:tcBorders>
      </w:tcPr>
    </w:tblStylePr>
  </w:style>
  <w:style w:type="table" w:styleId="898" w:customStyle="1">
    <w:name w:val="List Table 6 Colorful - Accent 2"/>
    <w:basedOn w:val="782"/>
    <w:uiPriority w:val="99"/>
    <w:tblPr>
      <w:tblStyleRowBandSize w:val="1"/>
      <w:tblStyleColBandSize w:val="1"/>
      <w:tblBorders>
        <w:top w:val="single" w:color="D99695" w:themeColor="accent2" w:themeTint="97" w:sz="4" w:space="0"/>
        <w:bottom w:val="single" w:color="D99695" w:themeColor="accent2" w:themeTint="97" w:sz="4" w:space="0"/>
      </w:tblBorders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4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  <w:tcPr>
        <w:tcBorders>
          <w:top w:val="single" w:color="D99695" w:themeColor="accent2" w:themeTint="97" w:sz="4" w:space="0"/>
        </w:tcBorders>
      </w:tcPr>
    </w:tblStylePr>
  </w:style>
  <w:style w:type="table" w:styleId="899" w:customStyle="1">
    <w:name w:val="List Table 6 Colorful - Accent 3"/>
    <w:basedOn w:val="782"/>
    <w:uiPriority w:val="99"/>
    <w:tblPr>
      <w:tblStyleRowBandSize w:val="1"/>
      <w:tblStyleColBandSize w:val="1"/>
      <w:tblBorders>
        <w:top w:val="single" w:color="C3D69B" w:themeColor="accent3" w:themeTint="98" w:sz="4" w:space="0"/>
        <w:bottom w:val="single" w:color="C3D69B" w:themeColor="accent3" w:themeTint="98" w:sz="4" w:space="0"/>
      </w:tblBorders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b/>
        <w:color w:val="c3d69b" w:themeColor="accent3" w:themeTint="98" w:themeShade="95"/>
      </w:rPr>
    </w:tblStylePr>
    <w:tblStylePr w:type="firstRow">
      <w:rPr>
        <w:b/>
        <w:color w:val="c3d69b" w:themeColor="accent3" w:themeTint="98" w:themeShade="95"/>
      </w:rPr>
      <w:tcPr>
        <w:tcBorders>
          <w:bottom w:val="single" w:color="C3D69B" w:themeColor="accent3" w:themeTint="98" w:sz="4" w:space="0"/>
        </w:tcBorders>
      </w:tcPr>
    </w:tblStylePr>
    <w:tblStylePr w:type="lastCol">
      <w:rPr>
        <w:b/>
        <w:color w:val="c3d69b" w:themeColor="accent3" w:themeTint="98" w:themeShade="95"/>
      </w:rPr>
    </w:tblStylePr>
    <w:tblStylePr w:type="lastRow">
      <w:rPr>
        <w:b/>
        <w:color w:val="c3d69b" w:themeColor="accent3" w:themeTint="98" w:themeShade="95"/>
      </w:rPr>
      <w:tcPr>
        <w:tcBorders>
          <w:top w:val="single" w:color="C3D69B" w:themeColor="accent3" w:themeTint="98" w:sz="4" w:space="0"/>
        </w:tcBorders>
      </w:tcPr>
    </w:tblStylePr>
  </w:style>
  <w:style w:type="table" w:styleId="900" w:customStyle="1">
    <w:name w:val="List Table 6 Colorful - Accent 4"/>
    <w:basedOn w:val="782"/>
    <w:uiPriority w:val="99"/>
    <w:tblPr>
      <w:tblStyleRowBandSize w:val="1"/>
      <w:tblStyleColBandSize w:val="1"/>
      <w:tblBorders>
        <w:top w:val="single" w:color="B2A1C6" w:themeColor="accent4" w:themeTint="9A" w:sz="4" w:space="0"/>
        <w:bottom w:val="single" w:color="B2A1C6" w:themeColor="accent4" w:themeTint="9A" w:sz="4" w:space="0"/>
      </w:tblBorders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4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  <w:tcPr>
        <w:tcBorders>
          <w:top w:val="single" w:color="B2A1C6" w:themeColor="accent4" w:themeTint="9A" w:sz="4" w:space="0"/>
        </w:tcBorders>
      </w:tcPr>
    </w:tblStylePr>
  </w:style>
  <w:style w:type="table" w:styleId="901" w:customStyle="1">
    <w:name w:val="List Table 6 Colorful - Accent 5"/>
    <w:basedOn w:val="782"/>
    <w:uiPriority w:val="99"/>
    <w:tblPr>
      <w:tblStyleRowBandSize w:val="1"/>
      <w:tblStyleColBandSize w:val="1"/>
      <w:tblBorders>
        <w:top w:val="single" w:color="92CCDC" w:themeColor="accent5" w:themeTint="9A" w:sz="4" w:space="0"/>
        <w:bottom w:val="single" w:color="92CCDC" w:themeColor="accent5" w:themeTint="9A" w:sz="4" w:space="0"/>
      </w:tblBorders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b/>
        <w:color w:val="92ccdc" w:themeColor="accent5" w:themeTint="9A" w:themeShade="95"/>
      </w:rPr>
    </w:tblStylePr>
    <w:tblStylePr w:type="firstRow">
      <w:rPr>
        <w:b/>
        <w:color w:val="92ccdc" w:themeColor="accent5" w:themeTint="9A" w:themeShade="95"/>
      </w:rPr>
      <w:tcPr>
        <w:tcBorders>
          <w:bottom w:val="single" w:color="92CCDC" w:themeColor="accent5" w:themeTint="9A" w:sz="4" w:space="0"/>
        </w:tcBorders>
      </w:tcPr>
    </w:tblStylePr>
    <w:tblStylePr w:type="lastCol">
      <w:rPr>
        <w:b/>
        <w:color w:val="92ccdc" w:themeColor="accent5" w:themeTint="9A" w:themeShade="95"/>
      </w:rPr>
    </w:tblStylePr>
    <w:tblStylePr w:type="lastRow">
      <w:rPr>
        <w:b/>
        <w:color w:val="92ccdc" w:themeColor="accent5" w:themeTint="9A" w:themeShade="95"/>
      </w:rPr>
      <w:tcPr>
        <w:tcBorders>
          <w:top w:val="single" w:color="92CCDC" w:themeColor="accent5" w:themeTint="9A" w:sz="4" w:space="0"/>
        </w:tcBorders>
      </w:tcPr>
    </w:tblStylePr>
  </w:style>
  <w:style w:type="table" w:styleId="902" w:customStyle="1">
    <w:name w:val="List Table 6 Colorful - Accent 6"/>
    <w:basedOn w:val="782"/>
    <w:uiPriority w:val="99"/>
    <w:tblPr>
      <w:tblStyleRowBandSize w:val="1"/>
      <w:tblStyleColBandSize w:val="1"/>
      <w:tblBorders>
        <w:top w:val="single" w:color="FAC090" w:themeColor="accent6" w:themeTint="98" w:sz="4" w:space="0"/>
        <w:bottom w:val="single" w:color="FAC090" w:themeColor="accent6" w:themeTint="98" w:sz="4" w:space="0"/>
      </w:tblBorders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b/>
        <w:color w:val="fac090" w:themeColor="accent6" w:themeTint="98" w:themeShade="95"/>
      </w:rPr>
    </w:tblStylePr>
    <w:tblStylePr w:type="firstRow">
      <w:rPr>
        <w:b/>
        <w:color w:val="fac090" w:themeColor="accent6" w:themeTint="98" w:themeShade="95"/>
      </w:rPr>
      <w:tcPr>
        <w:tcBorders>
          <w:bottom w:val="single" w:color="FAC090" w:themeColor="accent6" w:themeTint="98" w:sz="4" w:space="0"/>
        </w:tcBorders>
      </w:tcPr>
    </w:tblStylePr>
    <w:tblStylePr w:type="lastCol">
      <w:rPr>
        <w:b/>
        <w:color w:val="fac090" w:themeColor="accent6" w:themeTint="98" w:themeShade="95"/>
      </w:rPr>
    </w:tblStylePr>
    <w:tblStylePr w:type="lastRow">
      <w:rPr>
        <w:b/>
        <w:color w:val="fac090" w:themeColor="accent6" w:themeTint="98" w:themeShade="95"/>
      </w:rPr>
      <w:tcPr>
        <w:tcBorders>
          <w:top w:val="single" w:color="FAC090" w:themeColor="accent6" w:themeTint="98" w:sz="4" w:space="0"/>
        </w:tcBorders>
      </w:tcPr>
    </w:tblStylePr>
  </w:style>
  <w:style w:type="table" w:styleId="903">
    <w:name w:val="List Table 7 Colorful"/>
    <w:basedOn w:val="782"/>
    <w:uiPriority w:val="99"/>
    <w:tblPr>
      <w:tblStyleRowBandSize w:val="1"/>
      <w:tblStyleColBandSize w:val="1"/>
      <w:tblBorders>
        <w:right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04" w:customStyle="1">
    <w:name w:val="List Table 7 Colorful - Accent 1"/>
    <w:basedOn w:val="782"/>
    <w:uiPriority w:val="99"/>
    <w:tblPr>
      <w:tblStyleRowBandSize w:val="1"/>
      <w:tblStyleColBandSize w:val="1"/>
      <w:tblBorders>
        <w:right w:val="single" w:color="4F81BD" w:themeColor="accent1" w:sz="4" w:space="0"/>
      </w:tblBorders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rFonts w:ascii="Arial" w:hAnsi="Arial"/>
        <w:i/>
        <w:color w:val="2a4a71" w:themeColor="accent1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F81BD" w:themeColor="accent1" w:sz="4" w:space="0"/>
        </w:tcBorders>
      </w:tcPr>
    </w:tblStylePr>
    <w:tblStylePr w:type="firstRow">
      <w:rPr>
        <w:rFonts w:ascii="Arial" w:hAnsi="Arial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cPr>
        <w:shd w:val="clear" w:color="ffffff" w:fill="auto"/>
        <w:tcBorders>
          <w:top w:val="none" w:color="000000" w:sz="4" w:space="0"/>
          <w:left w:val="single" w:color="4F81BD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05" w:customStyle="1">
    <w:name w:val="List Table 7 Colorful - Accent 2"/>
    <w:basedOn w:val="782"/>
    <w:uiPriority w:val="99"/>
    <w:tblPr>
      <w:tblStyleRowBandSize w:val="1"/>
      <w:tblStyleColBandSize w:val="1"/>
      <w:tblBorders>
        <w:right w:val="single" w:color="D99695" w:themeColor="accent2" w:themeTint="97" w:sz="4" w:space="0"/>
      </w:tblBorders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06" w:customStyle="1">
    <w:name w:val="List Table 7 Colorful - Accent 3"/>
    <w:basedOn w:val="782"/>
    <w:uiPriority w:val="99"/>
    <w:tblPr>
      <w:tblStyleRowBandSize w:val="1"/>
      <w:tblStyleColBandSize w:val="1"/>
      <w:tblBorders>
        <w:right w:val="single" w:color="C3D69B" w:themeColor="accent3" w:themeTint="98" w:sz="4" w:space="0"/>
      </w:tblBorders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rFonts w:ascii="Arial" w:hAnsi="Arial"/>
        <w:i/>
        <w:color w:val="c3d69b" w:themeColor="accent3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3D69B" w:themeColor="accent3" w:themeTint="98" w:sz="4" w:space="0"/>
        </w:tcBorders>
      </w:tcPr>
    </w:tblStylePr>
    <w:tblStylePr w:type="firstRow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C3D69B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C3D69B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C3D69B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07" w:customStyle="1">
    <w:name w:val="List Table 7 Colorful - Accent 4"/>
    <w:basedOn w:val="782"/>
    <w:uiPriority w:val="99"/>
    <w:tblPr>
      <w:tblStyleRowBandSize w:val="1"/>
      <w:tblStyleColBandSize w:val="1"/>
      <w:tblBorders>
        <w:right w:val="single" w:color="B2A1C6" w:themeColor="accent4" w:themeTint="9A" w:sz="4" w:space="0"/>
      </w:tblBorders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08" w:customStyle="1">
    <w:name w:val="List Table 7 Colorful - Accent 5"/>
    <w:basedOn w:val="782"/>
    <w:uiPriority w:val="99"/>
    <w:tblPr>
      <w:tblStyleRowBandSize w:val="1"/>
      <w:tblStyleColBandSize w:val="1"/>
      <w:tblBorders>
        <w:right w:val="single" w:color="92CCDC" w:themeColor="accent5" w:themeTint="9A" w:sz="4" w:space="0"/>
      </w:tblBorders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rFonts w:ascii="Arial" w:hAnsi="Arial"/>
        <w:i/>
        <w:color w:val="92ccdc" w:themeColor="accent5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2CCDC" w:themeColor="accent5" w:themeTint="9A" w:sz="4" w:space="0"/>
        </w:tcBorders>
      </w:tcPr>
    </w:tblStylePr>
    <w:tblStylePr w:type="firstRow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2CCDC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92CCDC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92CCDC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09" w:customStyle="1">
    <w:name w:val="List Table 7 Colorful - Accent 6"/>
    <w:basedOn w:val="782"/>
    <w:uiPriority w:val="99"/>
    <w:tblPr>
      <w:tblStyleRowBandSize w:val="1"/>
      <w:tblStyleColBandSize w:val="1"/>
      <w:tblBorders>
        <w:right w:val="single" w:color="FAC090" w:themeColor="accent6" w:themeTint="98" w:sz="4" w:space="0"/>
      </w:tblBorders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rFonts w:ascii="Arial" w:hAnsi="Arial"/>
        <w:i/>
        <w:color w:val="fac090" w:themeColor="accent6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090" w:themeColor="accent6" w:themeTint="98" w:sz="4" w:space="0"/>
        </w:tcBorders>
      </w:tcPr>
    </w:tblStylePr>
    <w:tblStylePr w:type="firstRow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AC09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FAC09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FAC09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10" w:customStyle="1">
    <w:name w:val="Lined - Accent"/>
    <w:basedOn w:val="782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911" w:customStyle="1">
    <w:name w:val="Lined - Accent 1"/>
    <w:basedOn w:val="782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912" w:customStyle="1">
    <w:name w:val="Lined - Accent 2"/>
    <w:basedOn w:val="782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913" w:customStyle="1">
    <w:name w:val="Lined - Accent 3"/>
    <w:basedOn w:val="782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914" w:customStyle="1">
    <w:name w:val="Lined - Accent 4"/>
    <w:basedOn w:val="782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915" w:customStyle="1">
    <w:name w:val="Lined - Accent 5"/>
    <w:basedOn w:val="782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916" w:customStyle="1">
    <w:name w:val="Lined - Accent 6"/>
    <w:basedOn w:val="782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917" w:customStyle="1">
    <w:name w:val="Bordered &amp; Lined - Accent"/>
    <w:basedOn w:val="782"/>
    <w:uiPriority w:val="99"/>
    <w:rPr>
      <w:color w:val="404040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918" w:customStyle="1">
    <w:name w:val="Bordered &amp; Lined - Accent 1"/>
    <w:basedOn w:val="782"/>
    <w:uiPriority w:val="99"/>
    <w:rPr>
      <w:color w:val="404040"/>
    </w:rPr>
    <w:tblPr>
      <w:tblStyleRowBandSize w:val="1"/>
      <w:tblStyleColBandSize w:val="1"/>
      <w:tblBorders>
        <w:top w:val="single" w:color="2A4A71" w:themeColor="accent1" w:themeShade="95" w:sz="4" w:space="0"/>
        <w:left w:val="single" w:color="2A4A71" w:themeColor="accent1" w:themeShade="95" w:sz="4" w:space="0"/>
        <w:bottom w:val="single" w:color="2A4A71" w:themeColor="accent1" w:themeShade="95" w:sz="4" w:space="0"/>
        <w:right w:val="single" w:color="2A4A71" w:themeColor="accent1" w:themeShade="95" w:sz="4" w:space="0"/>
        <w:insideH w:val="single" w:color="2A4A71" w:themeColor="accent1" w:themeShade="95" w:sz="4" w:space="0"/>
        <w:insideV w:val="single" w:color="2A4A71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919" w:customStyle="1">
    <w:name w:val="Bordered &amp; Lined - Accent 2"/>
    <w:basedOn w:val="782"/>
    <w:uiPriority w:val="99"/>
    <w:rPr>
      <w:color w:val="404040"/>
    </w:rPr>
    <w:tblPr>
      <w:tblStyleRowBandSize w:val="1"/>
      <w:tblStyleColBandSize w:val="1"/>
      <w:tblBorders>
        <w:top w:val="single" w:color="732A29" w:themeColor="accent2" w:themeShade="95" w:sz="4" w:space="0"/>
        <w:left w:val="single" w:color="732A29" w:themeColor="accent2" w:themeShade="95" w:sz="4" w:space="0"/>
        <w:bottom w:val="single" w:color="732A29" w:themeColor="accent2" w:themeShade="95" w:sz="4" w:space="0"/>
        <w:right w:val="single" w:color="732A29" w:themeColor="accent2" w:themeShade="95" w:sz="4" w:space="0"/>
        <w:insideH w:val="single" w:color="732A29" w:themeColor="accent2" w:themeShade="95" w:sz="4" w:space="0"/>
        <w:insideV w:val="single" w:color="732A29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920" w:customStyle="1">
    <w:name w:val="Bordered &amp; Lined - Accent 3"/>
    <w:basedOn w:val="782"/>
    <w:uiPriority w:val="99"/>
    <w:rPr>
      <w:color w:val="404040"/>
    </w:rPr>
    <w:tblPr>
      <w:tblStyleRowBandSize w:val="1"/>
      <w:tblStyleColBandSize w:val="1"/>
      <w:tblBorders>
        <w:top w:val="single" w:color="5B722E" w:themeColor="accent3" w:themeShade="95" w:sz="4" w:space="0"/>
        <w:left w:val="single" w:color="5B722E" w:themeColor="accent3" w:themeShade="95" w:sz="4" w:space="0"/>
        <w:bottom w:val="single" w:color="5B722E" w:themeColor="accent3" w:themeShade="95" w:sz="4" w:space="0"/>
        <w:right w:val="single" w:color="5B722E" w:themeColor="accent3" w:themeShade="95" w:sz="4" w:space="0"/>
        <w:insideH w:val="single" w:color="5B722E" w:themeColor="accent3" w:themeShade="95" w:sz="4" w:space="0"/>
        <w:insideV w:val="single" w:color="5B722E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921" w:customStyle="1">
    <w:name w:val="Bordered &amp; Lined - Accent 4"/>
    <w:basedOn w:val="782"/>
    <w:uiPriority w:val="99"/>
    <w:rPr>
      <w:color w:val="404040"/>
    </w:rPr>
    <w:tblPr>
      <w:tblStyleRowBandSize w:val="1"/>
      <w:tblStyleColBandSize w:val="1"/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922" w:customStyle="1">
    <w:name w:val="Bordered &amp; Lined - Accent 5"/>
    <w:basedOn w:val="782"/>
    <w:uiPriority w:val="99"/>
    <w:rPr>
      <w:color w:val="404040"/>
    </w:rPr>
    <w:tblPr>
      <w:tblStyleRowBandSize w:val="1"/>
      <w:tblStyleColBandSize w:val="1"/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923" w:customStyle="1">
    <w:name w:val="Bordered &amp; Lined - Accent 6"/>
    <w:basedOn w:val="782"/>
    <w:uiPriority w:val="99"/>
    <w:rPr>
      <w:color w:val="404040"/>
    </w:rPr>
    <w:tblPr>
      <w:tblStyleRowBandSize w:val="1"/>
      <w:tblStyleColBandSize w:val="1"/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924" w:customStyle="1">
    <w:name w:val="Bordered"/>
    <w:basedOn w:val="782"/>
    <w:uiPriority w:val="99"/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themeColor="text1" w:themeTint="80" w:sz="12" w:space="0"/>
        </w:tcBorders>
      </w:tcPr>
    </w:tblStylePr>
  </w:style>
  <w:style w:type="table" w:styleId="925" w:customStyle="1">
    <w:name w:val="Bordered - Accent 1"/>
    <w:basedOn w:val="782"/>
    <w:uiPriority w:val="99"/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4F81BD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F81BD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F81BD" w:themeColor="accent1" w:sz="12" w:space="0"/>
        </w:tcBorders>
      </w:tcPr>
    </w:tblStylePr>
  </w:style>
  <w:style w:type="table" w:styleId="926" w:customStyle="1">
    <w:name w:val="Bordered - Accent 2"/>
    <w:basedOn w:val="782"/>
    <w:uiPriority w:val="99"/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D9969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D99695" w:themeColor="accent2" w:themeTint="97" w:sz="12" w:space="0"/>
        </w:tcBorders>
      </w:tcPr>
    </w:tblStylePr>
  </w:style>
  <w:style w:type="table" w:styleId="927" w:customStyle="1">
    <w:name w:val="Bordered - Accent 3"/>
    <w:basedOn w:val="782"/>
    <w:uiPriority w:val="99"/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3D69B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3D69B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3D69B" w:themeColor="accent3" w:themeTint="98" w:sz="12" w:space="0"/>
        </w:tcBorders>
      </w:tcPr>
    </w:tblStylePr>
  </w:style>
  <w:style w:type="table" w:styleId="928" w:customStyle="1">
    <w:name w:val="Bordered - Accent 4"/>
    <w:basedOn w:val="782"/>
    <w:uiPriority w:val="99"/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B2A1C6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B2A1C6" w:themeColor="accent4" w:themeTint="9A" w:sz="12" w:space="0"/>
        </w:tcBorders>
      </w:tcPr>
    </w:tblStylePr>
  </w:style>
  <w:style w:type="table" w:styleId="929" w:customStyle="1">
    <w:name w:val="Bordered - Accent 5"/>
    <w:basedOn w:val="782"/>
    <w:uiPriority w:val="99"/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92CCDC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2CCDC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2CCDC" w:themeColor="accent5" w:themeTint="9A" w:sz="12" w:space="0"/>
        </w:tcBorders>
      </w:tcPr>
    </w:tblStylePr>
  </w:style>
  <w:style w:type="table" w:styleId="930" w:customStyle="1">
    <w:name w:val="Bordered - Accent 6"/>
    <w:basedOn w:val="782"/>
    <w:uiPriority w:val="99"/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AC09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AC09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AC090" w:themeColor="accent6" w:themeTint="98" w:sz="12" w:space="0"/>
        </w:tcBorders>
      </w:tcPr>
    </w:tblStylePr>
  </w:style>
  <w:style w:type="character" w:styleId="931" w:customStyle="1">
    <w:name w:val="Footnote Text Char"/>
    <w:uiPriority w:val="99"/>
    <w:rPr>
      <w:sz w:val="18"/>
    </w:rPr>
  </w:style>
  <w:style w:type="paragraph" w:styleId="932">
    <w:name w:val="endnote text"/>
    <w:basedOn w:val="771"/>
    <w:link w:val="933"/>
    <w:uiPriority w:val="99"/>
    <w:semiHidden/>
    <w:unhideWhenUsed/>
    <w:rPr>
      <w:sz w:val="20"/>
    </w:rPr>
  </w:style>
  <w:style w:type="character" w:styleId="933" w:customStyle="1">
    <w:name w:val="Текст концевой сноски Знак"/>
    <w:link w:val="932"/>
    <w:uiPriority w:val="99"/>
    <w:rPr>
      <w:sz w:val="20"/>
    </w:rPr>
  </w:style>
  <w:style w:type="character" w:styleId="934">
    <w:name w:val="endnote reference"/>
    <w:basedOn w:val="781"/>
    <w:uiPriority w:val="99"/>
    <w:semiHidden/>
    <w:unhideWhenUsed/>
    <w:rPr>
      <w:vertAlign w:val="superscript"/>
    </w:rPr>
  </w:style>
  <w:style w:type="paragraph" w:styleId="935">
    <w:name w:val="toc 1"/>
    <w:basedOn w:val="771"/>
    <w:next w:val="771"/>
    <w:uiPriority w:val="39"/>
    <w:unhideWhenUsed/>
    <w:pPr>
      <w:spacing w:after="57"/>
    </w:pPr>
  </w:style>
  <w:style w:type="paragraph" w:styleId="936">
    <w:name w:val="toc 2"/>
    <w:basedOn w:val="771"/>
    <w:next w:val="771"/>
    <w:uiPriority w:val="39"/>
    <w:unhideWhenUsed/>
    <w:pPr>
      <w:ind w:left="283"/>
      <w:spacing w:after="57"/>
    </w:pPr>
  </w:style>
  <w:style w:type="paragraph" w:styleId="937">
    <w:name w:val="toc 3"/>
    <w:basedOn w:val="771"/>
    <w:next w:val="771"/>
    <w:uiPriority w:val="39"/>
    <w:unhideWhenUsed/>
    <w:pPr>
      <w:ind w:left="567"/>
      <w:spacing w:after="57"/>
    </w:pPr>
  </w:style>
  <w:style w:type="paragraph" w:styleId="938">
    <w:name w:val="toc 4"/>
    <w:basedOn w:val="771"/>
    <w:next w:val="771"/>
    <w:uiPriority w:val="39"/>
    <w:unhideWhenUsed/>
    <w:pPr>
      <w:ind w:left="850"/>
      <w:spacing w:after="57"/>
    </w:pPr>
  </w:style>
  <w:style w:type="paragraph" w:styleId="939">
    <w:name w:val="toc 5"/>
    <w:basedOn w:val="771"/>
    <w:next w:val="771"/>
    <w:uiPriority w:val="39"/>
    <w:unhideWhenUsed/>
    <w:pPr>
      <w:ind w:left="1134"/>
      <w:spacing w:after="57"/>
    </w:pPr>
  </w:style>
  <w:style w:type="paragraph" w:styleId="940">
    <w:name w:val="toc 6"/>
    <w:basedOn w:val="771"/>
    <w:next w:val="771"/>
    <w:uiPriority w:val="39"/>
    <w:unhideWhenUsed/>
    <w:pPr>
      <w:ind w:left="1417"/>
      <w:spacing w:after="57"/>
    </w:pPr>
  </w:style>
  <w:style w:type="paragraph" w:styleId="941">
    <w:name w:val="toc 7"/>
    <w:basedOn w:val="771"/>
    <w:next w:val="771"/>
    <w:uiPriority w:val="39"/>
    <w:unhideWhenUsed/>
    <w:pPr>
      <w:ind w:left="1701"/>
      <w:spacing w:after="57"/>
    </w:pPr>
  </w:style>
  <w:style w:type="paragraph" w:styleId="942">
    <w:name w:val="toc 8"/>
    <w:basedOn w:val="771"/>
    <w:next w:val="771"/>
    <w:uiPriority w:val="39"/>
    <w:unhideWhenUsed/>
    <w:pPr>
      <w:ind w:left="1984"/>
      <w:spacing w:after="57"/>
    </w:pPr>
  </w:style>
  <w:style w:type="paragraph" w:styleId="943">
    <w:name w:val="toc 9"/>
    <w:basedOn w:val="771"/>
    <w:next w:val="771"/>
    <w:uiPriority w:val="39"/>
    <w:unhideWhenUsed/>
    <w:pPr>
      <w:ind w:left="2268"/>
      <w:spacing w:after="57"/>
    </w:pPr>
  </w:style>
  <w:style w:type="paragraph" w:styleId="944">
    <w:name w:val="TOC Heading"/>
    <w:uiPriority w:val="39"/>
    <w:unhideWhenUsed/>
  </w:style>
  <w:style w:type="paragraph" w:styleId="945">
    <w:name w:val="table of figures"/>
    <w:basedOn w:val="771"/>
    <w:next w:val="771"/>
    <w:uiPriority w:val="99"/>
    <w:unhideWhenUsed/>
  </w:style>
  <w:style w:type="character" w:styleId="946">
    <w:name w:val="Strong"/>
    <w:qFormat/>
    <w:rPr>
      <w:b/>
      <w:bCs/>
    </w:rPr>
  </w:style>
  <w:style w:type="paragraph" w:styleId="947">
    <w:name w:val="Document Map"/>
    <w:basedOn w:val="771"/>
    <w:semiHidden/>
    <w:pPr>
      <w:shd w:val="clear" w:color="auto" w:fill="000080"/>
    </w:pPr>
    <w:rPr>
      <w:rFonts w:ascii="Tahoma" w:hAnsi="Tahoma" w:cs="Tahoma"/>
      <w:sz w:val="20"/>
      <w:szCs w:val="20"/>
    </w:rPr>
  </w:style>
  <w:style w:type="table" w:styleId="948">
    <w:name w:val="Table Grid"/>
    <w:basedOn w:val="782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949">
    <w:name w:val="Footer"/>
    <w:basedOn w:val="771"/>
    <w:link w:val="962"/>
    <w:uiPriority w:val="99"/>
    <w:pPr>
      <w:tabs>
        <w:tab w:val="center" w:pos="4677" w:leader="none"/>
        <w:tab w:val="right" w:pos="9355" w:leader="none"/>
      </w:tabs>
    </w:pPr>
  </w:style>
  <w:style w:type="character" w:styleId="950">
    <w:name w:val="page number"/>
    <w:basedOn w:val="781"/>
  </w:style>
  <w:style w:type="paragraph" w:styleId="951">
    <w:name w:val="List Paragraph"/>
    <w:basedOn w:val="771"/>
    <w:uiPriority w:val="34"/>
    <w:qFormat/>
    <w:pPr>
      <w:contextualSpacing/>
      <w:ind w:left="720"/>
    </w:pPr>
  </w:style>
  <w:style w:type="paragraph" w:styleId="952">
    <w:name w:val="Balloon Text"/>
    <w:basedOn w:val="771"/>
    <w:link w:val="953"/>
    <w:uiPriority w:val="99"/>
    <w:semiHidden/>
    <w:unhideWhenUsed/>
    <w:rPr>
      <w:rFonts w:ascii="Tahoma" w:hAnsi="Tahoma"/>
      <w:sz w:val="16"/>
      <w:szCs w:val="16"/>
    </w:rPr>
  </w:style>
  <w:style w:type="character" w:styleId="953" w:customStyle="1">
    <w:name w:val="Текст выноски Знак"/>
    <w:link w:val="952"/>
    <w:uiPriority w:val="99"/>
    <w:semiHidden/>
    <w:rPr>
      <w:rFonts w:ascii="Tahoma" w:hAnsi="Tahoma" w:cs="Tahoma"/>
      <w:sz w:val="16"/>
      <w:szCs w:val="16"/>
    </w:rPr>
  </w:style>
  <w:style w:type="character" w:styleId="954">
    <w:name w:val="Hyperlink"/>
    <w:uiPriority w:val="99"/>
    <w:unhideWhenUsed/>
    <w:rPr>
      <w:color w:val="0000ff"/>
      <w:u w:val="single"/>
    </w:rPr>
  </w:style>
  <w:style w:type="paragraph" w:styleId="955" w:customStyle="1">
    <w:name w:val="ConsPlusNonformat"/>
    <w:uiPriority w:val="99"/>
    <w:pPr>
      <w:widowControl w:val="off"/>
    </w:pPr>
    <w:rPr>
      <w:rFonts w:ascii="Courier New" w:hAnsi="Courier New" w:cs="Courier New"/>
    </w:rPr>
  </w:style>
  <w:style w:type="paragraph" w:styleId="956">
    <w:name w:val="Header"/>
    <w:basedOn w:val="771"/>
    <w:link w:val="957"/>
    <w:uiPriority w:val="99"/>
    <w:unhideWhenUsed/>
    <w:pPr>
      <w:tabs>
        <w:tab w:val="center" w:pos="4677" w:leader="none"/>
        <w:tab w:val="right" w:pos="9355" w:leader="none"/>
      </w:tabs>
    </w:pPr>
  </w:style>
  <w:style w:type="character" w:styleId="957" w:customStyle="1">
    <w:name w:val="Верхний колонтитул Знак"/>
    <w:link w:val="956"/>
    <w:uiPriority w:val="99"/>
    <w:rPr>
      <w:sz w:val="24"/>
      <w:szCs w:val="24"/>
    </w:rPr>
  </w:style>
  <w:style w:type="paragraph" w:styleId="958">
    <w:name w:val="Normal (Web)"/>
    <w:basedOn w:val="771"/>
    <w:link w:val="959"/>
    <w:pPr>
      <w:spacing w:before="100" w:beforeAutospacing="1" w:after="100" w:afterAutospacing="1"/>
    </w:pPr>
  </w:style>
  <w:style w:type="character" w:styleId="959" w:customStyle="1">
    <w:name w:val="Обычный (веб) Знак"/>
    <w:link w:val="958"/>
    <w:rPr>
      <w:sz w:val="24"/>
      <w:szCs w:val="24"/>
    </w:rPr>
  </w:style>
  <w:style w:type="paragraph" w:styleId="960">
    <w:name w:val="Body Text Indent 3"/>
    <w:basedOn w:val="771"/>
    <w:link w:val="961"/>
    <w:pPr>
      <w:ind w:right="-143" w:firstLine="709"/>
      <w:jc w:val="both"/>
    </w:pPr>
    <w:rPr>
      <w:sz w:val="28"/>
      <w:szCs w:val="28"/>
    </w:rPr>
  </w:style>
  <w:style w:type="character" w:styleId="961" w:customStyle="1">
    <w:name w:val="Основной текст с отступом 3 Знак"/>
    <w:link w:val="960"/>
    <w:rPr>
      <w:sz w:val="28"/>
      <w:szCs w:val="28"/>
    </w:rPr>
  </w:style>
  <w:style w:type="character" w:styleId="962" w:customStyle="1">
    <w:name w:val="Нижний колонтитул Знак"/>
    <w:link w:val="949"/>
    <w:uiPriority w:val="99"/>
    <w:rPr>
      <w:sz w:val="24"/>
      <w:szCs w:val="24"/>
    </w:rPr>
  </w:style>
  <w:style w:type="paragraph" w:styleId="963">
    <w:name w:val="Body Text Indent"/>
    <w:basedOn w:val="771"/>
    <w:link w:val="964"/>
    <w:uiPriority w:val="99"/>
    <w:semiHidden/>
    <w:unhideWhenUsed/>
    <w:pPr>
      <w:ind w:left="283"/>
      <w:spacing w:after="120"/>
    </w:pPr>
  </w:style>
  <w:style w:type="character" w:styleId="964" w:customStyle="1">
    <w:name w:val="Основной текст с отступом Знак"/>
    <w:basedOn w:val="781"/>
    <w:link w:val="963"/>
    <w:uiPriority w:val="99"/>
    <w:semiHidden/>
    <w:rPr>
      <w:sz w:val="24"/>
      <w:szCs w:val="24"/>
    </w:rPr>
  </w:style>
  <w:style w:type="paragraph" w:styleId="965" w:customStyle="1">
    <w:name w:val="ConsPlusNormal"/>
    <w:rPr>
      <w:sz w:val="28"/>
      <w:szCs w:val="28"/>
    </w:rPr>
  </w:style>
  <w:style w:type="paragraph" w:styleId="966" w:customStyle="1">
    <w:name w:val="Табличный_боковик_11"/>
    <w:link w:val="967"/>
    <w:qFormat/>
    <w:rPr>
      <w:sz w:val="22"/>
      <w:szCs w:val="24"/>
    </w:rPr>
  </w:style>
  <w:style w:type="character" w:styleId="967" w:customStyle="1">
    <w:name w:val="Табличный_боковик_11 Знак"/>
    <w:link w:val="966"/>
    <w:rPr>
      <w:sz w:val="22"/>
      <w:szCs w:val="24"/>
    </w:rPr>
  </w:style>
  <w:style w:type="character" w:styleId="968">
    <w:name w:val="FollowedHyperlink"/>
    <w:basedOn w:val="781"/>
    <w:uiPriority w:val="99"/>
    <w:semiHidden/>
    <w:unhideWhenUsed/>
    <w:rPr>
      <w:color w:val="800080" w:themeColor="followedHyperlink"/>
      <w:u w:val="single"/>
    </w:rPr>
  </w:style>
  <w:style w:type="paragraph" w:styleId="969" w:customStyle="1">
    <w:name w:val="Default"/>
    <w:rPr>
      <w:color w:val="000000"/>
      <w:sz w:val="24"/>
      <w:szCs w:val="24"/>
    </w:rPr>
  </w:style>
  <w:style w:type="paragraph" w:styleId="970">
    <w:name w:val="footnote text"/>
    <w:basedOn w:val="771"/>
    <w:link w:val="971"/>
    <w:uiPriority w:val="99"/>
    <w:semiHidden/>
    <w:unhideWhenUsed/>
    <w:rPr>
      <w:sz w:val="20"/>
      <w:szCs w:val="20"/>
    </w:rPr>
  </w:style>
  <w:style w:type="character" w:styleId="971" w:customStyle="1">
    <w:name w:val="Текст сноски Знак"/>
    <w:basedOn w:val="781"/>
    <w:link w:val="970"/>
    <w:uiPriority w:val="99"/>
    <w:semiHidden/>
  </w:style>
  <w:style w:type="character" w:styleId="972">
    <w:name w:val="footnote reference"/>
    <w:basedOn w:val="781"/>
    <w:uiPriority w:val="99"/>
    <w:semiHidden/>
    <w:unhideWhenUsed/>
    <w:rPr>
      <w:vertAlign w:val="superscript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customXml" Target="../customXml/item1.xml" /><Relationship Id="rId13" Type="http://schemas.openxmlformats.org/officeDocument/2006/relationships/hyperlink" Target="http://dizo.nso.ru" TargetMode="External"/><Relationship Id="rId14" Type="http://schemas.openxmlformats.org/officeDocument/2006/relationships/hyperlink" Target="mailto:dgi@nso.ru" TargetMode="External"/><Relationship Id="rId15" Type="http://schemas.openxmlformats.org/officeDocument/2006/relationships/hyperlink" Target="http://www.rts-tender.ru" TargetMode="External"/><Relationship Id="rId16" Type="http://schemas.openxmlformats.org/officeDocument/2006/relationships/hyperlink" Target="mailto:iSupport@rts-tender.ru" TargetMode="External"/><Relationship Id="rId17" Type="http://schemas.openxmlformats.org/officeDocument/2006/relationships/hyperlink" Target="https://www.rts-tender.ru/platform-rules/platform-property-sales" TargetMode="External"/><Relationship Id="rId18" Type="http://schemas.openxmlformats.org/officeDocument/2006/relationships/hyperlink" Target="http://www.torgi.gov.ru" TargetMode="External"/><Relationship Id="rId19" Type="http://schemas.openxmlformats.org/officeDocument/2006/relationships/hyperlink" Target="http://www.torgi.gov.ru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er2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9497AE5-12BA-4F7F-9A9A-6ABA4DA37E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Р7-Офис/2025.3.1.923</Application>
  <Company>ADMNSR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НОВОСИБИРСКОГО РАЙОНА</dc:title>
  <dc:creator>Admin</dc:creator>
  <cp:lastModifiedBy>sasdv</cp:lastModifiedBy>
  <cp:revision>52</cp:revision>
  <dcterms:created xsi:type="dcterms:W3CDTF">2024-03-06T03:58:00Z</dcterms:created>
  <dcterms:modified xsi:type="dcterms:W3CDTF">2026-08-06T01:38:12Z</dcterms:modified>
</cp:coreProperties>
</file>