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right"/>
      </w:pPr>
      <w:r>
        <w:t xml:space="preserve">Приложение</w:t>
      </w:r>
      <w:r/>
    </w:p>
    <w:p>
      <w:pPr>
        <w:jc w:val="right"/>
      </w:pPr>
      <w:r>
        <w:t xml:space="preserve">к Порядку </w:t>
      </w:r>
      <w:r>
        <w:t xml:space="preserve">осуществления департаментом </w:t>
      </w:r>
      <w:r/>
    </w:p>
    <w:p>
      <w:pPr>
        <w:jc w:val="right"/>
      </w:pPr>
      <w:r>
        <w:t xml:space="preserve">имущества и земельных отношений</w:t>
      </w:r>
      <w:r/>
    </w:p>
    <w:p>
      <w:pPr>
        <w:jc w:val="right"/>
      </w:pPr>
      <w:r>
        <w:t xml:space="preserve">Новосибирской области бюджетных </w:t>
      </w:r>
      <w:r/>
    </w:p>
    <w:p>
      <w:pPr>
        <w:jc w:val="right"/>
      </w:pPr>
      <w:r>
        <w:t xml:space="preserve">п</w:t>
      </w:r>
      <w:r>
        <w:t xml:space="preserve">олномочий</w:t>
      </w:r>
      <w:r>
        <w:t xml:space="preserve"> </w:t>
      </w:r>
      <w:r>
        <w:t xml:space="preserve">администратора доходов</w:t>
      </w:r>
      <w:r/>
    </w:p>
    <w:p>
      <w:pPr>
        <w:jc w:val="right"/>
      </w:pPr>
      <w:r>
        <w:t xml:space="preserve">о</w:t>
      </w:r>
      <w:r>
        <w:t xml:space="preserve">бластного</w:t>
      </w:r>
      <w:r>
        <w:t xml:space="preserve"> </w:t>
      </w:r>
      <w:r>
        <w:t xml:space="preserve">бюджета Новосибирской области</w:t>
      </w:r>
      <w:r>
        <w:t xml:space="preserve">,</w:t>
      </w:r>
      <w:r/>
    </w:p>
    <w:p>
      <w:pPr>
        <w:jc w:val="right"/>
      </w:pPr>
      <w:r>
        <w:t xml:space="preserve">утвержденному приказом </w:t>
      </w:r>
      <w:r/>
    </w:p>
    <w:p>
      <w:pPr>
        <w:jc w:val="right"/>
      </w:pPr>
      <w:r>
        <w:t xml:space="preserve">от </w:t>
      </w:r>
      <w:r>
        <w:rPr>
          <w:u w:val="single"/>
        </w:rPr>
        <w:t xml:space="preserve">25.11.2024</w:t>
      </w:r>
      <w:r>
        <w:t xml:space="preserve"> № </w:t>
      </w:r>
      <w:r>
        <w:rPr>
          <w:u w:val="single"/>
        </w:rPr>
        <w:t xml:space="preserve">3737-НПА</w:t>
      </w:r>
      <w:r>
        <w:t xml:space="preserve"> </w:t>
      </w:r>
      <w:r/>
    </w:p>
    <w:p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</w:r>
      <w:r>
        <w:rPr>
          <w:b/>
          <w:color w:val="000000" w:themeColor="text1"/>
        </w:rPr>
      </w:r>
      <w:r>
        <w:rPr>
          <w:b/>
          <w:color w:val="000000" w:themeColor="text1"/>
        </w:rPr>
      </w:r>
    </w:p>
    <w:p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ПЕРЕЧЕНЬ</w:t>
      </w:r>
      <w:r>
        <w:rPr>
          <w:b/>
          <w:color w:val="000000" w:themeColor="text1"/>
        </w:rPr>
      </w:r>
      <w:r>
        <w:rPr>
          <w:b/>
          <w:color w:val="000000" w:themeColor="text1"/>
        </w:rPr>
      </w:r>
    </w:p>
    <w:p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источников доходов областного бюджета Новосибирской области, администрирование которых осуществляется </w:t>
      </w:r>
      <w:r>
        <w:rPr>
          <w:b/>
          <w:color w:val="000000" w:themeColor="text1"/>
        </w:rPr>
        <w:t xml:space="preserve">департаментом имущества и земельных отношений Новосибирской </w:t>
      </w:r>
      <w:r>
        <w:rPr>
          <w:b/>
          <w:color w:val="000000" w:themeColor="text1"/>
        </w:rPr>
        <w:t xml:space="preserve">области </w:t>
      </w:r>
      <w:r>
        <w:rPr>
          <w:b/>
          <w:color w:val="000000" w:themeColor="text1"/>
        </w:rPr>
      </w:r>
      <w:r>
        <w:rPr>
          <w:b/>
          <w:color w:val="000000" w:themeColor="text1"/>
        </w:rPr>
      </w:r>
    </w:p>
    <w:p>
      <w:pPr>
        <w:jc w:val="center"/>
        <w:rPr>
          <w:color w:val="000000" w:themeColor="text1"/>
        </w:rPr>
      </w:pPr>
      <w:r>
        <w:rPr>
          <w:color w:val="000000" w:themeColor="text1"/>
        </w:rPr>
      </w:r>
      <w:r>
        <w:rPr>
          <w:color w:val="000000" w:themeColor="text1"/>
        </w:rPr>
      </w:r>
      <w:r>
        <w:rPr>
          <w:color w:val="000000" w:themeColor="text1"/>
        </w:rPr>
      </w:r>
    </w:p>
    <w:tbl>
      <w:tblPr>
        <w:tblStyle w:val="919"/>
        <w:tblW w:w="9634" w:type="dxa"/>
        <w:tblLook w:val="04A0" w:firstRow="1" w:lastRow="0" w:firstColumn="1" w:lastColumn="0" w:noHBand="0" w:noVBand="1"/>
      </w:tblPr>
      <w:tblGrid>
        <w:gridCol w:w="640"/>
        <w:gridCol w:w="3041"/>
        <w:gridCol w:w="5953"/>
      </w:tblGrid>
      <w:tr>
        <w:tblPrEx/>
        <w:trPr/>
        <w:tc>
          <w:tcPr>
            <w:tcW w:w="64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№ п/п</w:t>
            </w:r>
            <w:r/>
          </w:p>
        </w:tc>
        <w:tc>
          <w:tcPr>
            <w:tcW w:w="304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Код бюджетной классификации</w:t>
            </w:r>
            <w:r/>
          </w:p>
        </w:tc>
        <w:tc>
          <w:tcPr>
            <w:tcW w:w="5953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Наименование кода бюджетной классификации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1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2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center"/>
              <w:widowControl w:val="off"/>
            </w:pPr>
            <w:r>
              <w:t xml:space="preserve">3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1 11 05022 02 0000 120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Доходы, получаемые в</w:t>
            </w:r>
            <w:r>
              <w:t xml:space="preserve"> виде арендной платы, а также средства от продажи права на заключение договоров аренды за земли, находящиеся в собственности субъектов Российской Федерации (за исключением земельных участков бюджетных и автономных учреждений субъектов Российской Федерации)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2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1 11 05026 04 0000 120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Доходы, получаемые в виде арендной платы за земельные участки, которые расположены в границах городских округов, находятся в </w:t>
            </w:r>
            <w:r>
              <w:t xml:space="preserve">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Федерации, а также средства от продажи права на заключение договоров аренды указанных земельных участков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3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1 11 05072 02 0000 120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Доходы от сдачи в аренду имущества, составляющего казну субъекта Российской Федерации (за исключением земельных участков)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4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1 11 05322 02 0000 120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Плата по соглашениям об установлении сервитута, заключенным о</w:t>
            </w:r>
            <w:r>
              <w:t xml:space="preserve">рганами исполнительной власти субъектов Российской Федерации,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субъектов Российской Федерации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5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1 11 05420 02 0000 120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собственности субъектов Российской Федерации и не пре</w:t>
            </w:r>
            <w:r>
              <w:t xml:space="preserve">доставленных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6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</w:t>
            </w:r>
            <w:r>
              <w:t xml:space="preserve"> </w:t>
            </w:r>
            <w:r>
              <w:t xml:space="preserve">11</w:t>
            </w:r>
            <w:r>
              <w:t xml:space="preserve"> </w:t>
            </w:r>
            <w:r>
              <w:t xml:space="preserve">09080</w:t>
            </w:r>
            <w:r>
              <w:t xml:space="preserve"> </w:t>
            </w:r>
            <w:r>
              <w:t xml:space="preserve">02</w:t>
            </w:r>
            <w:r>
              <w:t xml:space="preserve"> </w:t>
            </w:r>
            <w:r>
              <w:t xml:space="preserve">0000</w:t>
            </w:r>
            <w:r>
              <w:t xml:space="preserve"> </w:t>
            </w:r>
            <w:r>
              <w:t xml:space="preserve">120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Плата, поступившая в рамках договора за предоставление права на размещение и эксплуатацию нестационарн</w:t>
            </w:r>
            <w:r>
              <w:t xml:space="preserve">ого торгового объекта, установку и эксплуатацию рекламных конструкций на землях или земельных участках, находящихся в собственности субъектов Российской Федерации, и на землях или земельных участках, государственная собственность на которые не разграничена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7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both"/>
            </w:pPr>
            <w:r>
              <w:t xml:space="preserve">1 13 01410 01 0000 130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Плата за предоставление государст</w:t>
            </w:r>
            <w:r>
              <w:t xml:space="preserve">венными органами субъектов Российской Федерации, казенными учреждениями субъектов Российской Федерации сведений, документов, содержащихся в государственных реестрах (регистрах), ведение которых осуществляется данными государственными органами, учреждениями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8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1 14 02023 02 0000 410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Доходы от реализации иного имущества, находящегося в собственности субъектов Российской Федерации (за ис</w:t>
            </w:r>
            <w:r>
              <w:t xml:space="preserve">ключением имущества бюджетных и автономных учреждений субъектов Российской Федерации, а также имущества государственных унитарных предприятий субъектов Российской Федерации, в том числе казенных), в части реализации основных средств по указанному имуществу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9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r>
              <w:t xml:space="preserve">1 14 06022 02 0000 430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Доходы от продажи земельных участков, находящихся в собственности субъектов Российской Федерации (за исключением земельных участков бюджетных и автономных учреждений субъектов Российской Федерации)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</w:t>
            </w:r>
            <w:r>
              <w:t xml:space="preserve">0</w:t>
            </w:r>
            <w:r/>
          </w:p>
        </w:tc>
        <w:tc>
          <w:tcPr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1 16 02010 02 0000 140</w:t>
            </w:r>
            <w:r/>
          </w:p>
        </w:tc>
        <w:tc>
          <w:tcPr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Административные штрафы, установленные законами субъектов Российской Федерации об</w:t>
            </w:r>
            <w:r>
              <w:t xml:space="preserve"> </w:t>
            </w:r>
            <w:r>
              <w:t xml:space="preserve">административных правонарушениях, </w:t>
            </w:r>
            <w:r>
              <w:br/>
            </w:r>
            <w:r>
              <w:t xml:space="preserve">за </w:t>
            </w:r>
            <w:r>
              <w:t xml:space="preserve">нарушение законов и иных нормативных правовых актов субъектов Российской Федерации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11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1 16 07010 02 0000 140</w:t>
            </w:r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Штрафы, неустойки, пени, уплаченные </w:t>
            </w:r>
            <w:r>
              <w:br/>
            </w:r>
            <w:r>
              <w:t xml:space="preserve">в </w:t>
            </w:r>
            <w:r>
              <w:t xml:space="preserve">случае просрочки исполнения поставщиком (подрядчиком, исполнителем) обязательств, предусмотренных государственным контрактом, заключенным государственным органом субъекта Российской Федерации, казенным учреждением субъекта Российской Федерации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</w:t>
            </w:r>
            <w:r>
              <w:t xml:space="preserve">2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1 16 07090 02 0000 140</w:t>
            </w:r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Иные штрафы, неустойки, пени, уплаченные в</w:t>
            </w:r>
            <w:r>
              <w:t xml:space="preserve"> </w:t>
            </w:r>
            <w:r>
              <w:t xml:space="preserve">соответствии с законом или договором </w:t>
            </w:r>
            <w:r>
              <w:br/>
              <w:t xml:space="preserve">в</w:t>
            </w:r>
            <w:r>
              <w:t xml:space="preserve"> </w:t>
            </w:r>
            <w:r>
              <w:t xml:space="preserve">случае неисполнения или ненадлежащего исполнения обязательств перед государственным органом субъекта Российской Федерации, казенным учреждением субъекта Российской Федерации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13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1 16 10056 02 0000 140</w:t>
            </w:r>
            <w:r/>
          </w:p>
          <w:p>
            <w:pPr>
              <w:jc w:val="center"/>
            </w:pPr>
            <w:r/>
            <w:bookmarkStart w:id="0" w:name="_GoBack"/>
            <w:r/>
            <w:bookmarkEnd w:id="0"/>
            <w:r/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Платежи в целях возмещения убытков, причиненных уклонением от заключения с</w:t>
            </w:r>
            <w:r>
              <w:t xml:space="preserve"> </w:t>
            </w:r>
            <w:r>
              <w:t xml:space="preserve">государственным органом субъекта Российской Федерации (казенным учреждением субъекта Российской Федерации) государственного контракта, а</w:t>
            </w:r>
            <w:r>
              <w:t xml:space="preserve"> </w:t>
            </w:r>
            <w:r>
              <w:t xml:space="preserve">также иные денежные средства, подлежащие зачислению в бюджет субъекта Российской Федерации за нарушение законодательства Российской Фе</w:t>
            </w:r>
            <w:r>
              <w:t xml:space="preserve">дерации о контрактной системе в </w:t>
            </w:r>
            <w:r>
              <w:t xml:space="preserve">сфере закупок товаров, работ, услуг для обеспечения государственных и</w:t>
            </w:r>
            <w:r>
              <w:t xml:space="preserve"> </w:t>
            </w:r>
            <w:r>
              <w:t xml:space="preserve">муниципальных нужд (за исключением государственного контракта, финансируемого за</w:t>
            </w:r>
            <w:r>
              <w:t xml:space="preserve"> </w:t>
            </w:r>
            <w:r>
              <w:t xml:space="preserve">счет средств дорожного фонда субъекта Российской Федерации)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14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1 16 10122 01 0000 140</w:t>
            </w:r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Доходы от денежных взысканий (штрафов), поступающие в счет погашения задолженности, образовавшейся до</w:t>
            </w:r>
            <w:r>
              <w:t xml:space="preserve"> </w:t>
            </w:r>
            <w:r>
              <w:t xml:space="preserve">1</w:t>
            </w:r>
            <w:r>
              <w:t xml:space="preserve"> </w:t>
            </w:r>
            <w:r>
              <w:t xml:space="preserve">января 2020</w:t>
            </w:r>
            <w:r>
              <w:t xml:space="preserve"> </w:t>
            </w:r>
            <w:r>
              <w:t xml:space="preserve">года, подлежащие зачислению в бюджет субъекта Российской Федерации </w:t>
            </w:r>
            <w:r>
              <w:br/>
              <w:t xml:space="preserve">по нормативам, действовавшим в </w:t>
            </w:r>
            <w:r>
              <w:t xml:space="preserve">2019 году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15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1 17 01020 02 0000 180</w:t>
            </w:r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Невыясненные поступления, зачисляемые </w:t>
            </w:r>
            <w:r>
              <w:br/>
              <w:t xml:space="preserve">в</w:t>
            </w:r>
            <w:r>
              <w:t xml:space="preserve"> </w:t>
            </w:r>
            <w:r>
              <w:t xml:space="preserve">бюджеты субъектов Российской Федерации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16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1 17 05020 02 0000 180</w:t>
            </w:r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Прочие неналоговые доходы бюджетов субъектов Российской Федерации</w:t>
            </w:r>
            <w:r/>
          </w:p>
        </w:tc>
      </w:tr>
      <w:tr>
        <w:tblPrEx/>
        <w:trPr/>
        <w:tc>
          <w:tcPr>
            <w:tcW w:w="640" w:type="dxa"/>
            <w:textDirection w:val="lrTb"/>
            <w:noWrap w:val="false"/>
          </w:tcPr>
          <w:p>
            <w:pPr>
              <w:jc w:val="center"/>
            </w:pPr>
            <w:r>
              <w:t xml:space="preserve">17</w:t>
            </w:r>
            <w:r/>
          </w:p>
        </w:tc>
        <w:tc>
          <w:tcPr>
            <w:shd w:val="clear" w:color="auto" w:fill="auto"/>
            <w:tcW w:w="3041" w:type="dxa"/>
            <w:textDirection w:val="lrTb"/>
            <w:noWrap w:val="false"/>
          </w:tcPr>
          <w:p>
            <w:pPr>
              <w:jc w:val="center"/>
            </w:pPr>
            <w:r>
              <w:t xml:space="preserve">1 17 16000 02 0000 180</w:t>
            </w:r>
            <w:r/>
          </w:p>
        </w:tc>
        <w:tc>
          <w:tcPr>
            <w:shd w:val="clear" w:color="auto" w:fill="auto"/>
            <w:tcW w:w="5953" w:type="dxa"/>
            <w:textDirection w:val="lrTb"/>
            <w:noWrap w:val="false"/>
          </w:tcPr>
          <w:p>
            <w:pPr>
              <w:jc w:val="both"/>
            </w:pPr>
            <w:r>
              <w:t xml:space="preserve">Прочие неналоговые доходы бюджетов субъектов Российской Федерации в части невыясненных поступлений, по которым не</w:t>
            </w:r>
            <w:r>
              <w:t xml:space="preserve"> </w:t>
            </w:r>
            <w:r>
              <w:t xml:space="preserve">осуществлен возврат (уточнение) не</w:t>
            </w:r>
            <w:r>
              <w:t xml:space="preserve"> </w:t>
            </w:r>
            <w:r>
              <w:t xml:space="preserve">позднее трех лет со дня их зачисления на</w:t>
            </w:r>
            <w:r>
              <w:t xml:space="preserve"> </w:t>
            </w:r>
            <w:r>
              <w:t xml:space="preserve">единый счет бюджета субъекта Российской Федерации</w:t>
            </w:r>
            <w:r/>
          </w:p>
        </w:tc>
      </w:tr>
      <w:tr>
        <w:tblPrEx/>
        <w:trPr/>
        <w:tc>
          <w:tcPr>
            <w:tcW w:w="640" w:type="dxa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18</w:t>
            </w:r>
            <w:r/>
          </w:p>
        </w:tc>
        <w:tc>
          <w:tcPr>
            <w:shd w:val="clear" w:color="ffffff" w:fill="ffffff"/>
            <w:tcW w:w="3041" w:type="dxa"/>
            <w:vMerge w:val="restart"/>
            <w:textDirection w:val="lrTb"/>
            <w:noWrap w:val="false"/>
          </w:tcPr>
          <w:p>
            <w:pPr>
              <w:jc w:val="center"/>
            </w:pPr>
            <w:r/>
            <w:r>
              <w:rPr>
                <w:color w:val="000000" w:themeColor="text1"/>
                <w:lang w:val="ru-RU" w:eastAsia="ru-RU" w:bidi="ar-SA"/>
              </w:rPr>
              <w:t xml:space="preserve">1 13 02992 02 0000 130</w:t>
            </w:r>
            <w:r/>
            <w:r/>
            <w:r/>
          </w:p>
        </w:tc>
        <w:tc>
          <w:tcPr>
            <w:shd w:val="clear" w:color="ffffff" w:fill="ffffff"/>
            <w:tcW w:w="5953" w:type="dxa"/>
            <w:vMerge w:val="restart"/>
            <w:textDirection w:val="lrTb"/>
            <w:noWrap w:val="false"/>
          </w:tcPr>
          <w:p>
            <w:pPr>
              <w:jc w:val="both"/>
              <w:rPr>
                <w:color w:val="000000" w:themeColor="text1"/>
                <w14:ligatures w14:val="none"/>
              </w:rPr>
            </w:pPr>
            <w:r>
              <w:rPr>
                <w:lang w:val="ru-RU" w:eastAsia="ru-RU" w:bidi="ar-SA"/>
              </w:rPr>
              <w:t xml:space="preserve">Прочие доходы от компенсации затрат бюджетов субъектов Российской Федерации</w:t>
            </w:r>
            <w:r/>
            <w:r/>
            <w:r/>
            <w:r/>
            <w:r/>
          </w:p>
        </w:tc>
      </w:tr>
    </w:tbl>
    <w:p>
      <w:pPr>
        <w:ind w:firstLine="708"/>
        <w:jc w:val="both"/>
      </w:pPr>
      <w:r/>
      <w:r/>
    </w:p>
    <w:sectPr>
      <w:headerReference w:type="default" r:id="rId9"/>
      <w:headerReference w:type="first" r:id="rId10"/>
      <w:footnotePr/>
      <w:endnotePr/>
      <w:type w:val="nextPage"/>
      <w:pgSz w:w="11907" w:h="16840" w:orient="portrait"/>
      <w:pgMar w:top="1134" w:right="567" w:bottom="1134" w:left="1701" w:header="709" w:footer="680" w:gutter="0"/>
      <w:cols w:num="1" w:sep="0" w:space="709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739172320"/>
      <w:docPartObj>
        <w:docPartGallery w:val="Page Numbers (Top of Page)"/>
        <w:docPartUnique w:val="true"/>
      </w:docPartObj>
      <w:rPr/>
    </w:sdtPr>
    <w:sdtContent>
      <w:p>
        <w:pPr>
          <w:pStyle w:val="901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</w:t>
        </w:r>
        <w:r>
          <w:fldChar w:fldCharType="end"/>
        </w:r>
        <w:r/>
      </w:p>
    </w:sdtContent>
  </w:sdt>
  <w:p>
    <w:pPr>
      <w:pStyle w:val="901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1"/>
      <w:jc w:val="center"/>
    </w:pPr>
    <w:r/>
    <w:r/>
  </w:p>
  <w:p>
    <w:pPr>
      <w:pStyle w:val="90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643" w:hanging="360"/>
        <w:tabs>
          <w:tab w:val="num" w:pos="643" w:leader="none"/>
        </w:tabs>
      </w:pPr>
      <w:rPr>
        <w:rFonts w:hint="default" w:ascii="Symbol" w:hAnsi="Symbol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09" w:hanging="360"/>
        <w:tabs>
          <w:tab w:val="num" w:pos="1209" w:leader="none"/>
        </w:tabs>
      </w:p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92" w:hanging="360"/>
        <w:tabs>
          <w:tab w:val="num" w:pos="1492" w:leader="none"/>
        </w:tabs>
      </w:p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92" w:hanging="360"/>
        <w:tabs>
          <w:tab w:val="num" w:pos="1492" w:leader="none"/>
        </w:tabs>
      </w:pPr>
      <w:rPr>
        <w:rFonts w:hint="default" w:ascii="Symbol" w:hAnsi="Symbol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69" w:hanging="360"/>
        <w:tabs>
          <w:tab w:val="num" w:pos="1069" w:leader="none"/>
        </w:tabs>
      </w:pPr>
      <w:rPr>
        <w:rFonts w:hint="default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  <w:tabs>
          <w:tab w:val="num" w:pos="643" w:leader="none"/>
        </w:tabs>
      </w:p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69" w:hanging="360"/>
        <w:tabs>
          <w:tab w:val="num" w:pos="1069" w:leader="none"/>
        </w:tabs>
      </w:pPr>
      <w:rPr>
        <w:rFonts w:hint="default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6" w:hanging="360"/>
        <w:tabs>
          <w:tab w:val="num" w:pos="926" w:leader="none"/>
        </w:tabs>
      </w:p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926" w:hanging="360"/>
        <w:tabs>
          <w:tab w:val="num" w:pos="926" w:leader="none"/>
        </w:tabs>
      </w:pPr>
      <w:rPr>
        <w:rFonts w:hint="default" w:ascii="Symbol" w:hAnsi="Symbol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209" w:hanging="360"/>
        <w:tabs>
          <w:tab w:val="num" w:pos="1209" w:leader="none"/>
        </w:tabs>
      </w:pPr>
      <w:rPr>
        <w:rFonts w:hint="default" w:ascii="Symbol" w:hAnsi="Symbol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num w:numId="1">
    <w:abstractNumId w:val="5"/>
  </w:num>
  <w:num w:numId="2">
    <w:abstractNumId w:val="8"/>
  </w:num>
  <w:num w:numId="3">
    <w:abstractNumId w:val="10"/>
  </w:num>
  <w:num w:numId="4">
    <w:abstractNumId w:val="0"/>
  </w:num>
  <w:num w:numId="5">
    <w:abstractNumId w:val="12"/>
  </w:num>
  <w:num w:numId="6">
    <w:abstractNumId w:val="13"/>
  </w:num>
  <w:num w:numId="7">
    <w:abstractNumId w:val="4"/>
  </w:num>
  <w:num w:numId="8">
    <w:abstractNumId w:val="3"/>
  </w:num>
  <w:num w:numId="9">
    <w:abstractNumId w:val="7"/>
  </w:num>
  <w:num w:numId="10">
    <w:abstractNumId w:val="9"/>
  </w:num>
  <w:num w:numId="11">
    <w:abstractNumId w:val="1"/>
  </w:num>
  <w:num w:numId="12">
    <w:abstractNumId w:val="2"/>
  </w:num>
  <w:num w:numId="13">
    <w:abstractNumId w:val="6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20">
    <w:name w:val="Heading 1"/>
    <w:basedOn w:val="892"/>
    <w:next w:val="892"/>
    <w:link w:val="72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21">
    <w:name w:val="Heading 1 Char"/>
    <w:basedOn w:val="894"/>
    <w:link w:val="720"/>
    <w:uiPriority w:val="9"/>
    <w:rPr>
      <w:rFonts w:ascii="Arial" w:hAnsi="Arial" w:eastAsia="Arial" w:cs="Arial"/>
      <w:sz w:val="40"/>
      <w:szCs w:val="40"/>
    </w:rPr>
  </w:style>
  <w:style w:type="character" w:styleId="722">
    <w:name w:val="Heading 2 Char"/>
    <w:basedOn w:val="894"/>
    <w:link w:val="893"/>
    <w:uiPriority w:val="9"/>
    <w:rPr>
      <w:rFonts w:ascii="Arial" w:hAnsi="Arial" w:eastAsia="Arial" w:cs="Arial"/>
      <w:sz w:val="34"/>
    </w:rPr>
  </w:style>
  <w:style w:type="paragraph" w:styleId="723">
    <w:name w:val="Heading 3"/>
    <w:basedOn w:val="892"/>
    <w:next w:val="892"/>
    <w:link w:val="72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24">
    <w:name w:val="Heading 3 Char"/>
    <w:basedOn w:val="894"/>
    <w:link w:val="723"/>
    <w:uiPriority w:val="9"/>
    <w:rPr>
      <w:rFonts w:ascii="Arial" w:hAnsi="Arial" w:eastAsia="Arial" w:cs="Arial"/>
      <w:sz w:val="30"/>
      <w:szCs w:val="30"/>
    </w:rPr>
  </w:style>
  <w:style w:type="paragraph" w:styleId="725">
    <w:name w:val="Heading 4"/>
    <w:basedOn w:val="892"/>
    <w:next w:val="892"/>
    <w:link w:val="726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26">
    <w:name w:val="Heading 4 Char"/>
    <w:basedOn w:val="894"/>
    <w:link w:val="725"/>
    <w:uiPriority w:val="9"/>
    <w:rPr>
      <w:rFonts w:ascii="Arial" w:hAnsi="Arial" w:eastAsia="Arial" w:cs="Arial"/>
      <w:b/>
      <w:bCs/>
      <w:sz w:val="26"/>
      <w:szCs w:val="26"/>
    </w:rPr>
  </w:style>
  <w:style w:type="paragraph" w:styleId="727">
    <w:name w:val="Heading 5"/>
    <w:basedOn w:val="892"/>
    <w:next w:val="892"/>
    <w:link w:val="72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28">
    <w:name w:val="Heading 5 Char"/>
    <w:basedOn w:val="894"/>
    <w:link w:val="727"/>
    <w:uiPriority w:val="9"/>
    <w:rPr>
      <w:rFonts w:ascii="Arial" w:hAnsi="Arial" w:eastAsia="Arial" w:cs="Arial"/>
      <w:b/>
      <w:bCs/>
      <w:sz w:val="24"/>
      <w:szCs w:val="24"/>
    </w:rPr>
  </w:style>
  <w:style w:type="paragraph" w:styleId="729">
    <w:name w:val="Heading 6"/>
    <w:basedOn w:val="892"/>
    <w:next w:val="892"/>
    <w:link w:val="73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30">
    <w:name w:val="Heading 6 Char"/>
    <w:basedOn w:val="894"/>
    <w:link w:val="729"/>
    <w:uiPriority w:val="9"/>
    <w:rPr>
      <w:rFonts w:ascii="Arial" w:hAnsi="Arial" w:eastAsia="Arial" w:cs="Arial"/>
      <w:b/>
      <w:bCs/>
      <w:sz w:val="22"/>
      <w:szCs w:val="22"/>
    </w:rPr>
  </w:style>
  <w:style w:type="paragraph" w:styleId="731">
    <w:name w:val="Heading 7"/>
    <w:basedOn w:val="892"/>
    <w:next w:val="892"/>
    <w:link w:val="73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32">
    <w:name w:val="Heading 7 Char"/>
    <w:basedOn w:val="894"/>
    <w:link w:val="731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33">
    <w:name w:val="Heading 8"/>
    <w:basedOn w:val="892"/>
    <w:next w:val="892"/>
    <w:link w:val="73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34">
    <w:name w:val="Heading 8 Char"/>
    <w:basedOn w:val="894"/>
    <w:link w:val="733"/>
    <w:uiPriority w:val="9"/>
    <w:rPr>
      <w:rFonts w:ascii="Arial" w:hAnsi="Arial" w:eastAsia="Arial" w:cs="Arial"/>
      <w:i/>
      <w:iCs/>
      <w:sz w:val="22"/>
      <w:szCs w:val="22"/>
    </w:rPr>
  </w:style>
  <w:style w:type="paragraph" w:styleId="735">
    <w:name w:val="Heading 9"/>
    <w:basedOn w:val="892"/>
    <w:next w:val="892"/>
    <w:link w:val="73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36">
    <w:name w:val="Heading 9 Char"/>
    <w:basedOn w:val="894"/>
    <w:link w:val="735"/>
    <w:uiPriority w:val="9"/>
    <w:rPr>
      <w:rFonts w:ascii="Arial" w:hAnsi="Arial" w:eastAsia="Arial" w:cs="Arial"/>
      <w:i/>
      <w:iCs/>
      <w:sz w:val="21"/>
      <w:szCs w:val="21"/>
    </w:rPr>
  </w:style>
  <w:style w:type="paragraph" w:styleId="737">
    <w:name w:val="No Spacing"/>
    <w:uiPriority w:val="1"/>
    <w:qFormat/>
    <w:pPr>
      <w:spacing w:before="0" w:after="0" w:line="240" w:lineRule="auto"/>
    </w:pPr>
  </w:style>
  <w:style w:type="paragraph" w:styleId="738">
    <w:name w:val="Title"/>
    <w:basedOn w:val="892"/>
    <w:next w:val="892"/>
    <w:link w:val="73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39">
    <w:name w:val="Title Char"/>
    <w:basedOn w:val="894"/>
    <w:link w:val="738"/>
    <w:uiPriority w:val="10"/>
    <w:rPr>
      <w:sz w:val="48"/>
      <w:szCs w:val="48"/>
    </w:rPr>
  </w:style>
  <w:style w:type="paragraph" w:styleId="740">
    <w:name w:val="Subtitle"/>
    <w:basedOn w:val="892"/>
    <w:next w:val="892"/>
    <w:link w:val="741"/>
    <w:uiPriority w:val="11"/>
    <w:qFormat/>
    <w:pPr>
      <w:spacing w:before="200" w:after="200"/>
    </w:pPr>
    <w:rPr>
      <w:sz w:val="24"/>
      <w:szCs w:val="24"/>
    </w:rPr>
  </w:style>
  <w:style w:type="character" w:styleId="741">
    <w:name w:val="Subtitle Char"/>
    <w:basedOn w:val="894"/>
    <w:link w:val="740"/>
    <w:uiPriority w:val="11"/>
    <w:rPr>
      <w:sz w:val="24"/>
      <w:szCs w:val="24"/>
    </w:rPr>
  </w:style>
  <w:style w:type="paragraph" w:styleId="742">
    <w:name w:val="Quote"/>
    <w:basedOn w:val="892"/>
    <w:next w:val="892"/>
    <w:link w:val="743"/>
    <w:uiPriority w:val="29"/>
    <w:qFormat/>
    <w:pPr>
      <w:ind w:left="720" w:right="720"/>
    </w:pPr>
    <w:rPr>
      <w:i/>
    </w:rPr>
  </w:style>
  <w:style w:type="character" w:styleId="743">
    <w:name w:val="Quote Char"/>
    <w:link w:val="742"/>
    <w:uiPriority w:val="29"/>
    <w:rPr>
      <w:i/>
    </w:rPr>
  </w:style>
  <w:style w:type="paragraph" w:styleId="744">
    <w:name w:val="Intense Quote"/>
    <w:basedOn w:val="892"/>
    <w:next w:val="892"/>
    <w:link w:val="74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5">
    <w:name w:val="Intense Quote Char"/>
    <w:link w:val="744"/>
    <w:uiPriority w:val="30"/>
    <w:rPr>
      <w:i/>
    </w:rPr>
  </w:style>
  <w:style w:type="character" w:styleId="746">
    <w:name w:val="Header Char"/>
    <w:basedOn w:val="894"/>
    <w:link w:val="901"/>
    <w:uiPriority w:val="99"/>
  </w:style>
  <w:style w:type="character" w:styleId="747">
    <w:name w:val="Footer Char"/>
    <w:basedOn w:val="894"/>
    <w:link w:val="903"/>
    <w:uiPriority w:val="99"/>
  </w:style>
  <w:style w:type="paragraph" w:styleId="748">
    <w:name w:val="Caption"/>
    <w:basedOn w:val="892"/>
    <w:next w:val="89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9">
    <w:name w:val="Caption Char"/>
    <w:basedOn w:val="748"/>
    <w:link w:val="903"/>
    <w:uiPriority w:val="99"/>
  </w:style>
  <w:style w:type="table" w:styleId="750">
    <w:name w:val="Table Grid Light"/>
    <w:basedOn w:val="89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1">
    <w:name w:val="Plain Table 1"/>
    <w:basedOn w:val="89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2">
    <w:name w:val="Plain Table 2"/>
    <w:basedOn w:val="89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3">
    <w:name w:val="Plain Table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4">
    <w:name w:val="Plain Table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Plain Table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56">
    <w:name w:val="Grid Table 1 Light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Grid Table 1 Light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Grid Table 1 Light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Grid Table 1 Light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Grid Table 1 Light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Grid Table 1 Light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Grid Table 1 Light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Grid Table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2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2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2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2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2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2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3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3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3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3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Grid Table 3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Grid Table 4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8">
    <w:name w:val="Grid Table 4 - Accent 1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9">
    <w:name w:val="Grid Table 4 - Accent 2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Grid Table 4 - Accent 3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1">
    <w:name w:val="Grid Table 4 - Accent 4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Grid Table 4 - Accent 5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83">
    <w:name w:val="Grid Table 4 - Accent 6"/>
    <w:basedOn w:val="89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84">
    <w:name w:val="Grid Table 5 Dark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85">
    <w:name w:val="Grid Table 5 Dark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86">
    <w:name w:val="Grid Table 5 Dark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7">
    <w:name w:val="Grid Table 5 Dark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8">
    <w:name w:val="Grid Table 5 Dark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9">
    <w:name w:val="Grid Table 5 Dark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90">
    <w:name w:val="Grid Table 5 Dark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91">
    <w:name w:val="Grid Table 6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92">
    <w:name w:val="Grid Table 6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93">
    <w:name w:val="Grid Table 6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94">
    <w:name w:val="Grid Table 6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95">
    <w:name w:val="Grid Table 6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96">
    <w:name w:val="Grid Table 6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7">
    <w:name w:val="Grid Table 6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8">
    <w:name w:val="Grid Table 7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7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7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7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7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Grid Table 7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Grid Table 7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1 Light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6">
    <w:name w:val="List Table 1 Light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7">
    <w:name w:val="List Table 1 Light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>
    <w:name w:val="List Table 1 Light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>
    <w:name w:val="List Table 1 Light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>
    <w:name w:val="List Table 1 Light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>
    <w:name w:val="List Table 1 Light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>
    <w:name w:val="List Table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13">
    <w:name w:val="List Table 2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14">
    <w:name w:val="List Table 2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15">
    <w:name w:val="List Table 2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16">
    <w:name w:val="List Table 2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7">
    <w:name w:val="List Table 2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8">
    <w:name w:val="List Table 2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9">
    <w:name w:val="List Table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3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3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3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3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3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3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>
    <w:name w:val="List Table 4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>
    <w:name w:val="List Table 4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>
    <w:name w:val="List Table 4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>
    <w:name w:val="List Table 4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>
    <w:name w:val="List Table 4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>
    <w:name w:val="List Table 5 Dark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4">
    <w:name w:val="List Table 5 Dark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5">
    <w:name w:val="List Table 5 Dark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6">
    <w:name w:val="List Table 5 Dark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7">
    <w:name w:val="List Table 5 Dark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8">
    <w:name w:val="List Table 5 Dark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9">
    <w:name w:val="List Table 5 Dark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40">
    <w:name w:val="List Table 6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41">
    <w:name w:val="List Table 6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42">
    <w:name w:val="List Table 6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43">
    <w:name w:val="List Table 6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44">
    <w:name w:val="List Table 6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45">
    <w:name w:val="List Table 6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46">
    <w:name w:val="List Table 6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7">
    <w:name w:val="List Table 7 Colorful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8">
    <w:name w:val="List Table 7 Colorful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9">
    <w:name w:val="List Table 7 Colorful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50">
    <w:name w:val="List Table 7 Colorful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51">
    <w:name w:val="List Table 7 Colorful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52">
    <w:name w:val="List Table 7 Colorful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53">
    <w:name w:val="List Table 7 Colorful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54">
    <w:name w:val="Lined - Accent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5">
    <w:name w:val="Lined - Accent 1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6">
    <w:name w:val="Lined - Accent 2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7">
    <w:name w:val="Lined - Accent 3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8">
    <w:name w:val="Lined - Accent 4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9">
    <w:name w:val="Lined - Accent 5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0">
    <w:name w:val="Lined - Accent 6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1">
    <w:name w:val="Bordered &amp; Lined - Accent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62">
    <w:name w:val="Bordered &amp; Lined - Accent 1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63">
    <w:name w:val="Bordered &amp; Lined - Accent 2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64">
    <w:name w:val="Bordered &amp; Lined - Accent 3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65">
    <w:name w:val="Bordered &amp; Lined - Accent 4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66">
    <w:name w:val="Bordered &amp; Lined - Accent 5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7">
    <w:name w:val="Bordered &amp; Lined - Accent 6"/>
    <w:basedOn w:val="89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8">
    <w:name w:val="Bordered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9">
    <w:name w:val="Bordered - Accent 1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70">
    <w:name w:val="Bordered - Accent 2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71">
    <w:name w:val="Bordered - Accent 3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72">
    <w:name w:val="Bordered - Accent 4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73">
    <w:name w:val="Bordered - Accent 5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74">
    <w:name w:val="Bordered - Accent 6"/>
    <w:basedOn w:val="89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75">
    <w:name w:val="footnote text"/>
    <w:basedOn w:val="892"/>
    <w:link w:val="876"/>
    <w:uiPriority w:val="99"/>
    <w:semiHidden/>
    <w:unhideWhenUsed/>
    <w:pPr>
      <w:spacing w:after="40" w:line="240" w:lineRule="auto"/>
    </w:pPr>
    <w:rPr>
      <w:sz w:val="18"/>
    </w:rPr>
  </w:style>
  <w:style w:type="character" w:styleId="876">
    <w:name w:val="Footnote Text Char"/>
    <w:link w:val="875"/>
    <w:uiPriority w:val="99"/>
    <w:rPr>
      <w:sz w:val="18"/>
    </w:rPr>
  </w:style>
  <w:style w:type="character" w:styleId="877">
    <w:name w:val="footnote reference"/>
    <w:basedOn w:val="894"/>
    <w:uiPriority w:val="99"/>
    <w:unhideWhenUsed/>
    <w:rPr>
      <w:vertAlign w:val="superscript"/>
    </w:rPr>
  </w:style>
  <w:style w:type="paragraph" w:styleId="878">
    <w:name w:val="endnote text"/>
    <w:basedOn w:val="892"/>
    <w:link w:val="879"/>
    <w:uiPriority w:val="99"/>
    <w:semiHidden/>
    <w:unhideWhenUsed/>
    <w:pPr>
      <w:spacing w:after="0" w:line="240" w:lineRule="auto"/>
    </w:pPr>
    <w:rPr>
      <w:sz w:val="20"/>
    </w:rPr>
  </w:style>
  <w:style w:type="character" w:styleId="879">
    <w:name w:val="Endnote Text Char"/>
    <w:link w:val="878"/>
    <w:uiPriority w:val="99"/>
    <w:rPr>
      <w:sz w:val="20"/>
    </w:rPr>
  </w:style>
  <w:style w:type="character" w:styleId="880">
    <w:name w:val="endnote reference"/>
    <w:basedOn w:val="894"/>
    <w:uiPriority w:val="99"/>
    <w:semiHidden/>
    <w:unhideWhenUsed/>
    <w:rPr>
      <w:vertAlign w:val="superscript"/>
    </w:rPr>
  </w:style>
  <w:style w:type="paragraph" w:styleId="881">
    <w:name w:val="toc 1"/>
    <w:basedOn w:val="892"/>
    <w:next w:val="892"/>
    <w:uiPriority w:val="39"/>
    <w:unhideWhenUsed/>
    <w:pPr>
      <w:ind w:left="0" w:right="0" w:firstLine="0"/>
      <w:spacing w:after="57"/>
    </w:pPr>
  </w:style>
  <w:style w:type="paragraph" w:styleId="882">
    <w:name w:val="toc 2"/>
    <w:basedOn w:val="892"/>
    <w:next w:val="892"/>
    <w:uiPriority w:val="39"/>
    <w:unhideWhenUsed/>
    <w:pPr>
      <w:ind w:left="283" w:right="0" w:firstLine="0"/>
      <w:spacing w:after="57"/>
    </w:pPr>
  </w:style>
  <w:style w:type="paragraph" w:styleId="883">
    <w:name w:val="toc 3"/>
    <w:basedOn w:val="892"/>
    <w:next w:val="892"/>
    <w:uiPriority w:val="39"/>
    <w:unhideWhenUsed/>
    <w:pPr>
      <w:ind w:left="567" w:right="0" w:firstLine="0"/>
      <w:spacing w:after="57"/>
    </w:pPr>
  </w:style>
  <w:style w:type="paragraph" w:styleId="884">
    <w:name w:val="toc 4"/>
    <w:basedOn w:val="892"/>
    <w:next w:val="892"/>
    <w:uiPriority w:val="39"/>
    <w:unhideWhenUsed/>
    <w:pPr>
      <w:ind w:left="850" w:right="0" w:firstLine="0"/>
      <w:spacing w:after="57"/>
    </w:pPr>
  </w:style>
  <w:style w:type="paragraph" w:styleId="885">
    <w:name w:val="toc 5"/>
    <w:basedOn w:val="892"/>
    <w:next w:val="892"/>
    <w:uiPriority w:val="39"/>
    <w:unhideWhenUsed/>
    <w:pPr>
      <w:ind w:left="1134" w:right="0" w:firstLine="0"/>
      <w:spacing w:after="57"/>
    </w:pPr>
  </w:style>
  <w:style w:type="paragraph" w:styleId="886">
    <w:name w:val="toc 6"/>
    <w:basedOn w:val="892"/>
    <w:next w:val="892"/>
    <w:uiPriority w:val="39"/>
    <w:unhideWhenUsed/>
    <w:pPr>
      <w:ind w:left="1417" w:right="0" w:firstLine="0"/>
      <w:spacing w:after="57"/>
    </w:pPr>
  </w:style>
  <w:style w:type="paragraph" w:styleId="887">
    <w:name w:val="toc 7"/>
    <w:basedOn w:val="892"/>
    <w:next w:val="892"/>
    <w:uiPriority w:val="39"/>
    <w:unhideWhenUsed/>
    <w:pPr>
      <w:ind w:left="1701" w:right="0" w:firstLine="0"/>
      <w:spacing w:after="57"/>
    </w:pPr>
  </w:style>
  <w:style w:type="paragraph" w:styleId="888">
    <w:name w:val="toc 8"/>
    <w:basedOn w:val="892"/>
    <w:next w:val="892"/>
    <w:uiPriority w:val="39"/>
    <w:unhideWhenUsed/>
    <w:pPr>
      <w:ind w:left="1984" w:right="0" w:firstLine="0"/>
      <w:spacing w:after="57"/>
    </w:pPr>
  </w:style>
  <w:style w:type="paragraph" w:styleId="889">
    <w:name w:val="toc 9"/>
    <w:basedOn w:val="892"/>
    <w:next w:val="892"/>
    <w:uiPriority w:val="39"/>
    <w:unhideWhenUsed/>
    <w:pPr>
      <w:ind w:left="2268" w:right="0" w:firstLine="0"/>
      <w:spacing w:after="57"/>
    </w:pPr>
  </w:style>
  <w:style w:type="paragraph" w:styleId="890">
    <w:name w:val="TOC Heading"/>
    <w:uiPriority w:val="39"/>
    <w:unhideWhenUsed/>
  </w:style>
  <w:style w:type="paragraph" w:styleId="891">
    <w:name w:val="table of figures"/>
    <w:basedOn w:val="892"/>
    <w:next w:val="892"/>
    <w:uiPriority w:val="99"/>
    <w:unhideWhenUsed/>
    <w:pPr>
      <w:spacing w:after="0" w:afterAutospacing="0"/>
    </w:pPr>
  </w:style>
  <w:style w:type="paragraph" w:styleId="892" w:default="1">
    <w:name w:val="Normal"/>
    <w:qFormat/>
    <w:rPr>
      <w:sz w:val="28"/>
      <w:szCs w:val="28"/>
    </w:rPr>
  </w:style>
  <w:style w:type="paragraph" w:styleId="893">
    <w:name w:val="Heading 2"/>
    <w:basedOn w:val="892"/>
    <w:next w:val="892"/>
    <w:link w:val="918"/>
    <w:semiHidden/>
    <w:unhideWhenUsed/>
    <w:qFormat/>
    <w:pPr>
      <w:keepLines/>
      <w:keepNext/>
      <w:spacing w:before="40"/>
      <w:outlineLvl w:val="1"/>
    </w:pPr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character" w:styleId="894" w:default="1">
    <w:name w:val="Default Paragraph Font"/>
    <w:uiPriority w:val="1"/>
    <w:semiHidden/>
    <w:unhideWhenUsed/>
  </w:style>
  <w:style w:type="table" w:styleId="89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96" w:default="1">
    <w:name w:val="No List"/>
    <w:uiPriority w:val="99"/>
    <w:semiHidden/>
    <w:unhideWhenUsed/>
  </w:style>
  <w:style w:type="paragraph" w:styleId="897" w:customStyle="1">
    <w:name w:val="заголовок 4"/>
    <w:basedOn w:val="892"/>
    <w:next w:val="892"/>
    <w:pPr>
      <w:jc w:val="center"/>
      <w:keepNext/>
    </w:pPr>
    <w:rPr>
      <w:b/>
      <w:bCs/>
    </w:rPr>
  </w:style>
  <w:style w:type="paragraph" w:styleId="898" w:customStyle="1">
    <w:name w:val="заголовок 5"/>
    <w:basedOn w:val="892"/>
    <w:next w:val="892"/>
    <w:pPr>
      <w:jc w:val="center"/>
      <w:keepNext/>
    </w:pPr>
    <w:rPr>
      <w:sz w:val="24"/>
      <w:szCs w:val="24"/>
    </w:rPr>
  </w:style>
  <w:style w:type="paragraph" w:styleId="899" w:customStyle="1">
    <w:name w:val="заголовок 6"/>
    <w:basedOn w:val="892"/>
    <w:next w:val="892"/>
    <w:pPr>
      <w:jc w:val="center"/>
      <w:keepNext/>
    </w:pPr>
  </w:style>
  <w:style w:type="character" w:styleId="900" w:customStyle="1">
    <w:name w:val="Основной шрифт"/>
  </w:style>
  <w:style w:type="paragraph" w:styleId="901">
    <w:name w:val="Header"/>
    <w:basedOn w:val="892"/>
    <w:link w:val="913"/>
    <w:uiPriority w:val="99"/>
    <w:pPr>
      <w:tabs>
        <w:tab w:val="center" w:pos="4153" w:leader="none"/>
        <w:tab w:val="right" w:pos="8306" w:leader="none"/>
      </w:tabs>
    </w:pPr>
  </w:style>
  <w:style w:type="paragraph" w:styleId="902" w:customStyle="1">
    <w:name w:val="Письмо главы"/>
    <w:basedOn w:val="892"/>
    <w:pPr>
      <w:ind w:firstLine="709"/>
      <w:jc w:val="both"/>
    </w:pPr>
  </w:style>
  <w:style w:type="paragraph" w:styleId="903">
    <w:name w:val="Footer"/>
    <w:basedOn w:val="892"/>
    <w:link w:val="920"/>
    <w:uiPriority w:val="99"/>
    <w:pPr>
      <w:tabs>
        <w:tab w:val="center" w:pos="4153" w:leader="none"/>
        <w:tab w:val="right" w:pos="8306" w:leader="none"/>
      </w:tabs>
    </w:pPr>
  </w:style>
  <w:style w:type="character" w:styleId="904" w:customStyle="1">
    <w:name w:val="номер страницы"/>
    <w:basedOn w:val="900"/>
  </w:style>
  <w:style w:type="paragraph" w:styleId="905">
    <w:name w:val="Body Text"/>
    <w:basedOn w:val="892"/>
    <w:pPr>
      <w:jc w:val="both"/>
    </w:pPr>
    <w:rPr>
      <w:sz w:val="24"/>
      <w:szCs w:val="24"/>
    </w:rPr>
  </w:style>
  <w:style w:type="character" w:styleId="906">
    <w:name w:val="Hyperlink"/>
    <w:rPr>
      <w:color w:val="0000ff"/>
      <w:u w:val="single"/>
    </w:rPr>
  </w:style>
  <w:style w:type="paragraph" w:styleId="907">
    <w:name w:val="Body Text Indent"/>
    <w:basedOn w:val="892"/>
    <w:pPr>
      <w:jc w:val="center"/>
    </w:pPr>
    <w:rPr>
      <w:b/>
      <w:bCs/>
      <w:sz w:val="26"/>
      <w:szCs w:val="26"/>
    </w:rPr>
  </w:style>
  <w:style w:type="paragraph" w:styleId="908">
    <w:name w:val="Body Text Indent 2"/>
    <w:basedOn w:val="892"/>
    <w:pPr>
      <w:ind w:left="360"/>
      <w:jc w:val="both"/>
    </w:pPr>
  </w:style>
  <w:style w:type="paragraph" w:styleId="909">
    <w:name w:val="Body Text 3"/>
    <w:basedOn w:val="892"/>
    <w:pPr>
      <w:jc w:val="center"/>
    </w:pPr>
    <w:rPr>
      <w:b/>
      <w:bCs/>
    </w:rPr>
  </w:style>
  <w:style w:type="paragraph" w:styleId="910">
    <w:name w:val="Body Text Indent 3"/>
    <w:basedOn w:val="892"/>
    <w:pPr>
      <w:ind w:left="-142" w:firstLine="851"/>
      <w:jc w:val="both"/>
    </w:pPr>
  </w:style>
  <w:style w:type="character" w:styleId="911">
    <w:name w:val="FollowedHyperlink"/>
    <w:rPr>
      <w:color w:val="800080"/>
      <w:u w:val="single"/>
    </w:rPr>
  </w:style>
  <w:style w:type="paragraph" w:styleId="912" w:customStyle="1">
    <w:name w:val="Титул"/>
    <w:pPr>
      <w:jc w:val="center"/>
    </w:pPr>
    <w:rPr>
      <w:sz w:val="28"/>
      <w:szCs w:val="28"/>
    </w:rPr>
  </w:style>
  <w:style w:type="character" w:styleId="913" w:customStyle="1">
    <w:name w:val="Верхний колонтитул Знак"/>
    <w:link w:val="901"/>
    <w:uiPriority w:val="99"/>
    <w:rPr>
      <w:sz w:val="28"/>
      <w:szCs w:val="28"/>
    </w:rPr>
  </w:style>
  <w:style w:type="paragraph" w:styleId="914">
    <w:name w:val="Balloon Text"/>
    <w:basedOn w:val="892"/>
    <w:link w:val="915"/>
    <w:rPr>
      <w:rFonts w:ascii="Tahoma" w:hAnsi="Tahoma" w:cs="Tahoma"/>
      <w:sz w:val="16"/>
      <w:szCs w:val="16"/>
    </w:rPr>
  </w:style>
  <w:style w:type="character" w:styleId="915" w:customStyle="1">
    <w:name w:val="Текст выноски Знак"/>
    <w:link w:val="914"/>
    <w:rPr>
      <w:rFonts w:ascii="Tahoma" w:hAnsi="Tahoma" w:cs="Tahoma"/>
      <w:sz w:val="16"/>
      <w:szCs w:val="16"/>
    </w:rPr>
  </w:style>
  <w:style w:type="paragraph" w:styleId="916">
    <w:name w:val="List Paragraph"/>
    <w:basedOn w:val="892"/>
    <w:uiPriority w:val="34"/>
    <w:qFormat/>
    <w:pPr>
      <w:contextualSpacing/>
      <w:ind w:left="720"/>
    </w:pPr>
  </w:style>
  <w:style w:type="character" w:styleId="917" w:customStyle="1">
    <w:name w:val="docdata"/>
    <w:basedOn w:val="894"/>
  </w:style>
  <w:style w:type="character" w:styleId="918" w:customStyle="1">
    <w:name w:val="Заголовок 2 Знак"/>
    <w:basedOn w:val="894"/>
    <w:link w:val="893"/>
    <w:semiHidden/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table" w:styleId="919">
    <w:name w:val="Table Grid"/>
    <w:basedOn w:val="895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20" w:customStyle="1">
    <w:name w:val="Нижний колонтитул Знак"/>
    <w:basedOn w:val="894"/>
    <w:link w:val="903"/>
    <w:uiPriority w:val="99"/>
    <w:rPr>
      <w:sz w:val="28"/>
      <w:szCs w:val="2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2F28D3-56B0-4F4F-9A87-03F0AEF9F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creator>Исаев Максим Игоревич</dc:creator>
  <cp:revision>13</cp:revision>
  <dcterms:created xsi:type="dcterms:W3CDTF">2024-02-15T07:47:00Z</dcterms:created>
  <dcterms:modified xsi:type="dcterms:W3CDTF">2025-05-06T03:18:53Z</dcterms:modified>
</cp:coreProperties>
</file>