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58405" cy="10687050"/>
                <wp:effectExtent l="0" t="0" r="0" b="0"/>
                <wp:wrapSquare wrapText="bothSides"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9865731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7558404" cy="1068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524288;o:allowoverlap:true;o:allowincell:true;mso-position-horizontal-relative:page;margin-left:0.00pt;mso-position-horizontal:absolute;mso-position-vertical-relative:page;margin-top:0.40pt;mso-position-vertical:absolute;width:595.15pt;height:841.50pt;mso-wrap-distance-left:9.00pt;mso-wrap-distance-top:0.00pt;mso-wrap-distance-right:9.00pt;mso-wrap-distance-bottom:0.00pt;rotation:0;" stroked="f">
                <v:path textboxrect="0,0,0,0"/>
                <w10:wrap type="square"/>
                <v:imagedata r:id="rId12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58405" cy="10687050"/>
                <wp:effectExtent l="0" t="0" r="0" b="0"/>
                <wp:wrapSquare wrapText="bothSides"/>
                <wp:docPr id="2" name="_x0000_s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839709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7558404" cy="1068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0609663;o:allowoverlap:true;o:allowincell:true;mso-position-horizontal-relative:page;margin-left:0.00pt;mso-position-horizontal:absolute;mso-position-vertical-relative:page;margin-top:0.40pt;mso-position-vertical:absolute;width:595.15pt;height:841.50pt;mso-wrap-distance-left:9.00pt;mso-wrap-distance-top:0.00pt;mso-wrap-distance-right:9.00pt;mso-wrap-distance-bottom:0.00pt;rotation:0;" stroked="f">
                <v:path textboxrect="0,0,0,0"/>
                <w10:wrap type="square"/>
                <v:imagedata r:id="rId13" o:title=""/>
              </v:shape>
            </w:pict>
          </mc:Fallback>
        </mc:AlternateContent>
      </w:r>
      <w:r/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ТВЕРЖДЕН</w:t>
      </w:r>
      <w:r>
        <w:rPr>
          <w:rFonts w:eastAsia="Arial"/>
          <w:sz w:val="28"/>
          <w:szCs w:val="28"/>
        </w:rPr>
        <w:t xml:space="preserve"> 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приказом департамента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имущества и земельных отношений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Новосибирской области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от «</w:t>
      </w:r>
      <w:r>
        <w:rPr>
          <w:rFonts w:eastAsia="Arial"/>
          <w:sz w:val="28"/>
          <w:szCs w:val="28"/>
          <w:u w:val="single"/>
        </w:rPr>
        <w:t xml:space="preserve">27</w:t>
      </w:r>
      <w:r>
        <w:rPr>
          <w:rFonts w:eastAsia="Arial"/>
          <w:sz w:val="28"/>
          <w:szCs w:val="28"/>
        </w:rPr>
        <w:t xml:space="preserve">» </w:t>
      </w:r>
      <w:r>
        <w:rPr>
          <w:rFonts w:eastAsia="Arial"/>
          <w:sz w:val="28"/>
          <w:szCs w:val="28"/>
          <w:u w:val="single"/>
        </w:rPr>
        <w:t xml:space="preserve">декабря </w:t>
      </w:r>
      <w:r>
        <w:rPr>
          <w:rFonts w:eastAsia="Arial"/>
          <w:sz w:val="28"/>
          <w:szCs w:val="28"/>
        </w:rPr>
        <w:t xml:space="preserve">2024 г.</w:t>
      </w:r>
      <w:r>
        <w:rPr>
          <w:rFonts w:eastAsia="Arial"/>
          <w:sz w:val="28"/>
          <w:szCs w:val="28"/>
        </w:rPr>
        <w:t xml:space="preserve"> № </w:t>
      </w:r>
      <w:r>
        <w:rPr>
          <w:rFonts w:eastAsia="Arial"/>
          <w:sz w:val="28"/>
          <w:szCs w:val="28"/>
          <w:u w:val="single"/>
        </w:rPr>
        <w:t xml:space="preserve">4373-НПА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7371"/>
        <w:jc w:val="center"/>
        <w:rPr>
          <w:b/>
          <w:bCs/>
          <w:sz w:val="28"/>
          <w:szCs w:val="28"/>
          <w:lang w:val="en-US" w:eastAsia="ru-RU"/>
        </w:rPr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jc w:val="center"/>
        <w:rPr>
          <w:b/>
          <w:bCs/>
          <w:sz w:val="28"/>
          <w:szCs w:val="28"/>
          <w:lang w:val="en-US" w:eastAsia="ru-RU"/>
        </w:rPr>
      </w:pPr>
      <w:r>
        <w:rPr>
          <w:b/>
          <w:bCs/>
          <w:sz w:val="28"/>
          <w:szCs w:val="28"/>
          <w:lang w:eastAsia="ru-RU"/>
        </w:rPr>
        <w:t xml:space="preserve">Административный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регламент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b/>
          <w:sz w:val="28"/>
          <w:szCs w:val="28"/>
          <w:highlight w:val="white"/>
        </w:rPr>
        <w:t xml:space="preserve">департамента имущества и земельных отношений Новосибирской области по предоставлению государственной услуги в сфере перераспределенных полномочий органов местного самоуправления</w:t>
      </w:r>
      <w:r>
        <w:rPr>
          <w:b/>
          <w:bCs/>
          <w:sz w:val="28"/>
          <w:szCs w:val="28"/>
          <w:highlight w:val="white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«</w:t>
      </w:r>
      <w:r>
        <w:rPr>
          <w:b/>
          <w:sz w:val="28"/>
          <w:szCs w:val="28"/>
        </w:rPr>
        <w:t xml:space="preserve">Утверждение схемы расположения земельного участка или земельных участков, государственная собственность на которые не разграничена, на кадастровом плане территории</w:t>
      </w:r>
      <w:r>
        <w:rPr>
          <w:b/>
          <w:sz w:val="28"/>
          <w:szCs w:val="28"/>
        </w:rPr>
        <w:t xml:space="preserve">»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keepLines/>
        <w:keepNext/>
        <w:spacing w:before="240" w:after="160"/>
        <w:rPr>
          <w:rFonts w:eastAsia="Yu Gothic Light"/>
          <w:b/>
          <w:bCs/>
          <w:sz w:val="28"/>
          <w:szCs w:val="28"/>
          <w:lang w:val="en-US"/>
        </w:rPr>
        <w:outlineLvl w:val="0"/>
      </w:pPr>
      <w:r>
        <w:rPr>
          <w:rFonts w:eastAsia="Yu Gothic Light"/>
          <w:b/>
          <w:bCs/>
          <w:sz w:val="28"/>
          <w:szCs w:val="28"/>
          <w:lang w:val="en-US"/>
        </w:rPr>
        <w:t xml:space="preserve">I. </w:t>
      </w:r>
      <w:r>
        <w:rPr>
          <w:rFonts w:eastAsia="Yu Gothic Light"/>
          <w:b/>
          <w:bCs/>
          <w:sz w:val="28"/>
          <w:szCs w:val="28"/>
        </w:rPr>
        <w:t xml:space="preserve">Общие</w:t>
      </w:r>
      <w:r>
        <w:rPr>
          <w:rFonts w:eastAsia="Yu Gothic Light"/>
          <w:b/>
          <w:bCs/>
          <w:sz w:val="28"/>
          <w:szCs w:val="28"/>
          <w:lang w:val="en-US"/>
        </w:rPr>
        <w:t xml:space="preserve"> </w:t>
      </w:r>
      <w:r>
        <w:rPr>
          <w:rFonts w:eastAsia="Yu Gothic Light"/>
          <w:b/>
          <w:bCs/>
          <w:sz w:val="28"/>
          <w:szCs w:val="28"/>
        </w:rPr>
        <w:t xml:space="preserve">положения</w:t>
      </w:r>
      <w:r>
        <w:rPr>
          <w:rFonts w:eastAsia="Yu Gothic Light"/>
          <w:b/>
          <w:bCs/>
          <w:sz w:val="28"/>
          <w:szCs w:val="28"/>
          <w:lang w:val="en-US"/>
        </w:rPr>
      </w:r>
      <w:r>
        <w:rPr>
          <w:rFonts w:eastAsia="Yu Gothic Light"/>
          <w:b/>
          <w:bCs/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Настоящий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дминистративный регламент устан</w:t>
      </w:r>
      <w:r>
        <w:rPr>
          <w:sz w:val="28"/>
          <w:szCs w:val="28"/>
          <w:lang w:eastAsia="ru-RU"/>
        </w:rPr>
        <w:t xml:space="preserve">авливает порядок</w:t>
      </w:r>
      <w:r>
        <w:rPr>
          <w:sz w:val="28"/>
          <w:szCs w:val="28"/>
          <w:lang w:eastAsia="ru-RU"/>
        </w:rPr>
        <w:t xml:space="preserve"> и стандарт</w:t>
      </w:r>
      <w:r>
        <w:rPr>
          <w:sz w:val="28"/>
          <w:szCs w:val="28"/>
          <w:lang w:eastAsia="ru-RU"/>
        </w:rPr>
        <w:t xml:space="preserve"> предоставления </w:t>
      </w:r>
      <w:r>
        <w:rPr>
          <w:bCs/>
          <w:sz w:val="28"/>
          <w:szCs w:val="28"/>
          <w:lang w:eastAsia="ru-RU"/>
        </w:rPr>
        <w:t xml:space="preserve">государственной</w:t>
      </w:r>
      <w:r>
        <w:rPr>
          <w:bCs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 «</w:t>
      </w:r>
      <w:r>
        <w:rPr>
          <w:sz w:val="28"/>
          <w:szCs w:val="28"/>
        </w:rPr>
        <w:t xml:space="preserve">Утверждение схемы расположения земельного участка или земельных участков, государственная собственность на которые не разграничена, на кадастровом плане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(далее – Услуга).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</w:rPr>
        <w:t xml:space="preserve">физическим лицам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индивидуальным предпринимателям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юридическим лицам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уполномоченному представителю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</w:t>
      </w:r>
      <w:r>
        <w:rPr>
          <w:sz w:val="28"/>
          <w:szCs w:val="28"/>
        </w:rPr>
        <w:t xml:space="preserve"> – заявители)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указанным в таблице 1</w:t>
      </w:r>
      <w:r>
        <w:rPr>
          <w:sz w:val="28"/>
          <w:szCs w:val="28"/>
          <w:lang w:eastAsia="ru-RU"/>
        </w:rPr>
        <w:t xml:space="preserve"> приложения №</w:t>
      </w:r>
      <w:r>
        <w:rPr>
          <w:sz w:val="28"/>
          <w:szCs w:val="28"/>
          <w:lang w:eastAsia="ru-RU"/>
        </w:rPr>
        <w:t xml:space="preserve"> </w:t>
      </w:r>
      <w:r>
        <w:rPr>
          <w:sz w:val="28"/>
          <w:szCs w:val="28"/>
          <w:lang w:eastAsia="ru-RU"/>
        </w:rPr>
        <w:t xml:space="preserve">1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к </w:t>
      </w:r>
      <w:r>
        <w:rPr>
          <w:sz w:val="28"/>
          <w:szCs w:val="28"/>
          <w:lang w:eastAsia="ru-RU"/>
        </w:rPr>
        <w:t xml:space="preserve">настоящему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дминистративному регламенту</w:t>
      </w:r>
      <w:r>
        <w:rPr>
          <w:sz w:val="28"/>
          <w:szCs w:val="28"/>
        </w:rPr>
        <w:t xml:space="preserve">.</w:t>
      </w:r>
      <w:r/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Услуга должна быть предоставлена заявителю в соответс</w:t>
      </w:r>
      <w:r>
        <w:rPr>
          <w:sz w:val="28"/>
          <w:szCs w:val="28"/>
        </w:rPr>
        <w:t xml:space="preserve">твии с вариантом предоставления </w:t>
      </w:r>
      <w:r>
        <w:rPr>
          <w:sz w:val="28"/>
          <w:szCs w:val="28"/>
          <w:lang w:eastAsia="ru-RU"/>
        </w:rPr>
        <w:t xml:space="preserve">У</w:t>
      </w:r>
      <w:r>
        <w:rPr>
          <w:sz w:val="28"/>
          <w:szCs w:val="28"/>
          <w:lang w:eastAsia="ru-RU"/>
        </w:rPr>
        <w:t xml:space="preserve">слуги (далее – вариант)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Вариант</w:t>
      </w:r>
      <w:r>
        <w:rPr>
          <w:sz w:val="28"/>
          <w:szCs w:val="28"/>
          <w:lang w:eastAsia="ru-RU"/>
        </w:rPr>
        <w:t xml:space="preserve"> определяется в соответствии</w:t>
      </w:r>
      <w:r>
        <w:rPr>
          <w:sz w:val="28"/>
          <w:szCs w:val="28"/>
          <w:lang w:eastAsia="ru-RU"/>
        </w:rPr>
        <w:t xml:space="preserve"> с таблицей 2 приложения</w:t>
      </w:r>
      <w:r>
        <w:rPr>
          <w:sz w:val="28"/>
          <w:szCs w:val="28"/>
          <w:lang w:eastAsia="ru-RU"/>
        </w:rPr>
        <w:t xml:space="preserve"> №</w:t>
      </w:r>
      <w:r>
        <w:rPr>
          <w:sz w:val="28"/>
          <w:szCs w:val="28"/>
          <w:lang w:eastAsia="ru-RU"/>
        </w:rPr>
        <w:t xml:space="preserve"> </w:t>
      </w:r>
      <w:r>
        <w:rPr>
          <w:sz w:val="28"/>
          <w:szCs w:val="28"/>
          <w:lang w:eastAsia="ru-RU"/>
        </w:rPr>
        <w:t xml:space="preserve">1 к настоящему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дминистративному регламенту</w:t>
      </w:r>
      <w:r>
        <w:rPr>
          <w:sz w:val="28"/>
          <w:szCs w:val="28"/>
          <w:lang w:eastAsia="ru-RU"/>
        </w:rPr>
        <w:t xml:space="preserve"> исходя из</w:t>
      </w:r>
      <w:r>
        <w:rPr>
          <w:sz w:val="28"/>
          <w:szCs w:val="28"/>
          <w:lang w:eastAsia="ru-RU"/>
        </w:rPr>
        <w:t xml:space="preserve"> общих</w:t>
      </w:r>
      <w:r>
        <w:rPr>
          <w:sz w:val="28"/>
          <w:szCs w:val="28"/>
          <w:lang w:eastAsia="ru-RU"/>
        </w:rPr>
        <w:t xml:space="preserve"> признаков заявителя,</w:t>
      </w:r>
      <w:r>
        <w:rPr>
          <w:sz w:val="28"/>
          <w:szCs w:val="28"/>
          <w:lang w:eastAsia="ru-RU"/>
        </w:rPr>
        <w:t xml:space="preserve"> а также из результата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</w:t>
      </w:r>
      <w:r>
        <w:rPr>
          <w:sz w:val="28"/>
          <w:szCs w:val="28"/>
          <w:lang w:eastAsia="ru-RU"/>
        </w:rPr>
        <w:t xml:space="preserve">сл</w:t>
      </w:r>
      <w:r>
        <w:rPr>
          <w:sz w:val="28"/>
          <w:szCs w:val="28"/>
          <w:lang w:eastAsia="ru-RU"/>
        </w:rPr>
        <w:t xml:space="preserve">уги, за предоставлением которой</w:t>
      </w:r>
      <w:r>
        <w:rPr>
          <w:sz w:val="28"/>
          <w:szCs w:val="28"/>
          <w:lang w:eastAsia="ru-RU"/>
        </w:rPr>
        <w:t xml:space="preserve"> обратился указанный заявитель.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Признаки заявителя определяются </w:t>
      </w:r>
      <w:r>
        <w:rPr>
          <w:sz w:val="28"/>
          <w:szCs w:val="28"/>
          <w:lang w:eastAsia="ru-RU"/>
        </w:rPr>
        <w:t xml:space="preserve">в результате анкетирования, проводимого органом, предоставляющим услугу (далее – профилирование)</w:t>
      </w:r>
      <w:r>
        <w:rPr>
          <w:rStyle w:val="1001"/>
          <w:sz w:val="28"/>
          <w:szCs w:val="28"/>
          <w:lang w:eastAsia="ru-RU"/>
        </w:rPr>
        <w:footnoteReference w:id="2"/>
      </w:r>
      <w:r>
        <w:rPr>
          <w:sz w:val="28"/>
          <w:szCs w:val="28"/>
          <w:lang w:eastAsia="ru-RU"/>
        </w:rPr>
        <w:t xml:space="preserve">, осуществляемого в соответствии с настоящим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дминистративным регламентом.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Информация о порядке предоставления Услуги размещается в федеральной государственной информационной системе «Единый портал государственных и </w:t>
      </w:r>
      <w:r>
        <w:rPr>
          <w:sz w:val="28"/>
          <w:szCs w:val="28"/>
          <w:lang w:eastAsia="ru-RU"/>
        </w:rPr>
        <w:t xml:space="preserve">муниципальных услуг (функций)»</w:t>
      </w:r>
      <w:r>
        <w:rPr>
          <w:rStyle w:val="1001"/>
          <w:sz w:val="28"/>
          <w:szCs w:val="28"/>
          <w:lang w:eastAsia="ru-RU"/>
        </w:rPr>
        <w:footnoteReference w:id="3"/>
      </w:r>
      <w:r>
        <w:rPr>
          <w:sz w:val="28"/>
          <w:szCs w:val="28"/>
          <w:lang w:eastAsia="ru-RU"/>
        </w:rPr>
        <w:t xml:space="preserve"> (далее – Единый портал)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160"/>
        <w:rPr>
          <w:b/>
          <w:sz w:val="28"/>
          <w:szCs w:val="28"/>
          <w:lang w:eastAsia="ru-RU"/>
        </w:rPr>
        <w:outlineLvl w:val="0"/>
      </w:pPr>
      <w:r>
        <w:rPr>
          <w:rFonts w:eastAsia="Yu Gothic Light"/>
          <w:b/>
          <w:bCs/>
          <w:sz w:val="28"/>
          <w:szCs w:val="28"/>
          <w:lang w:val="en-US"/>
        </w:rPr>
        <w:t xml:space="preserve">II</w:t>
      </w:r>
      <w:r>
        <w:rPr>
          <w:rFonts w:eastAsia="Yu Gothic Light"/>
          <w:b/>
          <w:bCs/>
          <w:sz w:val="28"/>
          <w:szCs w:val="28"/>
        </w:rPr>
        <w:t xml:space="preserve">. Стандарт предоставления</w:t>
      </w:r>
      <w:r>
        <w:rPr>
          <w:b/>
          <w:sz w:val="28"/>
          <w:szCs w:val="28"/>
        </w:rPr>
        <w:t xml:space="preserve"> </w:t>
      </w:r>
      <w:r>
        <w:rPr>
          <w:rFonts w:eastAsia="Yu Gothic Light"/>
          <w:b/>
          <w:bCs/>
          <w:sz w:val="28"/>
          <w:szCs w:val="28"/>
        </w:rPr>
        <w:t xml:space="preserve">У</w:t>
      </w:r>
      <w:r>
        <w:rPr>
          <w:rFonts w:eastAsia="Yu Gothic Light"/>
          <w:b/>
          <w:bCs/>
          <w:sz w:val="28"/>
          <w:szCs w:val="28"/>
        </w:rPr>
        <w:t xml:space="preserve">слуги</w:t>
      </w:r>
      <w:r>
        <w:rPr>
          <w:b/>
          <w:sz w:val="28"/>
          <w:szCs w:val="28"/>
          <w:lang w:eastAsia="ru-RU"/>
        </w:rPr>
      </w:r>
      <w:r>
        <w:rPr>
          <w:b/>
          <w:sz w:val="28"/>
          <w:szCs w:val="28"/>
          <w:lang w:eastAsia="ru-RU"/>
        </w:rPr>
      </w:r>
    </w:p>
    <w:p>
      <w:pPr>
        <w:jc w:val="center"/>
        <w:keepLines/>
        <w:keepNext/>
        <w:spacing w:before="40" w:after="16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Наименование У</w:t>
      </w:r>
      <w:r>
        <w:rPr>
          <w:b/>
          <w:bCs/>
          <w:sz w:val="28"/>
          <w:szCs w:val="28"/>
          <w:lang w:eastAsia="ru-RU"/>
        </w:rPr>
        <w:t xml:space="preserve">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Утверждение схемы расположения земельного участка или земельных участков, государственная собственность на которые не разграничена, на кадастровом плане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Наименование органа, предоставляющего Услугу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Услугу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highlight w:val="white"/>
        </w:rPr>
        <w:t xml:space="preserve">департамент имущества и земельных отношений Новосибирской области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  <w:lang w:eastAsia="ru-RU"/>
        </w:rPr>
        <w:t xml:space="preserve"> – Орган власти)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Услуги в м</w:t>
      </w:r>
      <w:r>
        <w:rPr>
          <w:sz w:val="28"/>
          <w:szCs w:val="28"/>
          <w:lang w:eastAsia="ru-RU"/>
        </w:rPr>
        <w:t xml:space="preserve"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МФЦ, в которых организуется предоставление Услуги,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могут принять</w:t>
      </w:r>
      <w:r>
        <w:rPr>
          <w:sz w:val="28"/>
          <w:szCs w:val="28"/>
          <w:lang w:eastAsia="ru-RU"/>
        </w:rPr>
        <w:t xml:space="preserve"> решение об отказе в приеме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о предоставлении Услуги (далее – заявление)</w:t>
      </w:r>
      <w:r>
        <w:rPr>
          <w:sz w:val="28"/>
          <w:szCs w:val="28"/>
          <w:lang w:eastAsia="ru-RU"/>
        </w:rPr>
        <w:t xml:space="preserve"> и документов и (или) информации, необходимых для ее предоставления.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Результат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утверждением схемы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результатами</w:t>
      </w:r>
      <w:r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Услуги являются: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решение о предоставлении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решение об отказе в предоставлении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не предусмотрено.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Документом, содержащим решение о предоставлении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исправлением допущенных опечаток и (или) ошибок в выданных в результате предоставления Услуги документах и (или) созданных реестровых записях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результатами</w:t>
      </w:r>
      <w:r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Услуги являются: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решение о предоставлении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решение об отказе в предоставлении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не предусмотрено.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4"/>
          <w:szCs w:val="24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слуги могут быть получены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Срок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 с</w:t>
      </w:r>
      <w:r>
        <w:rPr>
          <w:sz w:val="28"/>
          <w:szCs w:val="28"/>
          <w:lang w:eastAsia="ru-RU"/>
        </w:rPr>
        <w:t xml:space="preserve">рок предоставления Услуги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 xml:space="preserve">20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 xml:space="preserve">календарных 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 предоставления Услуги определяется для каждого ва</w:t>
      </w:r>
      <w:r>
        <w:rPr>
          <w:sz w:val="28"/>
          <w:szCs w:val="28"/>
          <w:lang w:eastAsia="ru-RU"/>
        </w:rPr>
        <w:t xml:space="preserve">рианта и п</w:t>
      </w:r>
      <w:r>
        <w:rPr>
          <w:sz w:val="28"/>
          <w:szCs w:val="28"/>
          <w:lang w:eastAsia="ru-RU"/>
        </w:rPr>
        <w:t xml:space="preserve">риведен в их описании, содержаще</w:t>
      </w:r>
      <w:r>
        <w:rPr>
          <w:sz w:val="28"/>
          <w:szCs w:val="28"/>
          <w:lang w:eastAsia="ru-RU"/>
        </w:rPr>
        <w:t xml:space="preserve">мся в разделе </w:t>
      </w:r>
      <w:r>
        <w:rPr>
          <w:sz w:val="28"/>
          <w:szCs w:val="28"/>
          <w:lang w:val="en-US" w:eastAsia="ru-RU"/>
        </w:rPr>
        <w:t xml:space="preserve">III</w:t>
      </w:r>
      <w:r>
        <w:rPr>
          <w:sz w:val="28"/>
          <w:szCs w:val="28"/>
          <w:lang w:eastAsia="ru-RU"/>
        </w:rPr>
        <w:t xml:space="preserve"> настоящего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дминистративного регламента.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Правовые основания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  <w:lang w:eastAsia="ru-RU"/>
        </w:rPr>
        <w:t xml:space="preserve">, а также </w:t>
      </w:r>
      <w:r>
        <w:rPr>
          <w:sz w:val="28"/>
          <w:szCs w:val="28"/>
          <w:highlight w:val="white"/>
          <w:lang w:eastAsia="ru-RU"/>
        </w:rPr>
        <w:t xml:space="preserve">их должностных лиц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bCs/>
          <w:sz w:val="28"/>
          <w:szCs w:val="28"/>
          <w:highlight w:val="white"/>
          <w:lang w:eastAsia="ru-RU"/>
        </w:rPr>
        <w:t xml:space="preserve">государственных</w:t>
      </w:r>
      <w:r>
        <w:rPr>
          <w:sz w:val="28"/>
          <w:szCs w:val="28"/>
          <w:highlight w:val="white"/>
          <w:lang w:eastAsia="ru-RU"/>
        </w:rPr>
        <w:t xml:space="preserve"> служащих, </w:t>
      </w:r>
      <w:r>
        <w:rPr>
          <w:sz w:val="28"/>
          <w:szCs w:val="28"/>
          <w:highlight w:val="white"/>
          <w:lang w:eastAsia="ru-RU"/>
        </w:rPr>
        <w:t xml:space="preserve">работников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  <w:lang w:eastAsia="ru-RU"/>
        </w:rPr>
        <w:t xml:space="preserve"> размещены на официальном сайте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  <w:lang w:eastAsia="ru-RU"/>
        </w:rPr>
        <w:t xml:space="preserve"> в информационно-телекоммуникационной сети «Интернет» (далее </w:t>
      </w:r>
      <w:r>
        <w:rPr>
          <w:sz w:val="28"/>
          <w:szCs w:val="28"/>
        </w:rPr>
        <w:t xml:space="preserve">– сеть «Интернет»),</w:t>
      </w:r>
      <w:r>
        <w:rPr>
          <w:sz w:val="28"/>
          <w:szCs w:val="28"/>
          <w:lang w:eastAsia="ru-RU"/>
        </w:rPr>
        <w:t xml:space="preserve"> а также на Едином портале.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</w:t>
      </w:r>
      <w:r>
        <w:rPr>
          <w:sz w:val="28"/>
          <w:szCs w:val="28"/>
          <w:lang w:eastAsia="ru-RU"/>
        </w:rPr>
        <w:t xml:space="preserve">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Исчерпывающий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перечень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оснований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для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отказа</w:t>
      </w:r>
      <w:r>
        <w:rPr>
          <w:b/>
          <w:bCs/>
          <w:sz w:val="28"/>
          <w:szCs w:val="28"/>
          <w:lang w:val="en-US" w:eastAsia="ru-RU"/>
        </w:rPr>
        <w:br/>
      </w:r>
      <w:r>
        <w:rPr>
          <w:b/>
          <w:bCs/>
          <w:sz w:val="28"/>
          <w:szCs w:val="28"/>
          <w:lang w:eastAsia="ru-RU"/>
        </w:rPr>
        <w:t xml:space="preserve">в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приеме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заявления</w:t>
      </w:r>
      <w:r>
        <w:rPr>
          <w:b/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документов,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Основания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приведены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sz w:val="28"/>
          <w:szCs w:val="28"/>
        </w:rPr>
        <w:t xml:space="preserve">Исчерпывающий перечень оснований для приостановления предоставления Услуги или отказа в предоставлении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</w:rPr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приостановления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предусмотрены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</w:rPr>
      </w:r>
      <w:r/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</w:rPr>
      </w:r>
      <w:r>
        <w:rPr>
          <w:sz w:val="28"/>
          <w:szCs w:val="28"/>
        </w:rPr>
        <w:t xml:space="preserve"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</w:rPr>
      </w:r>
      <w:r/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>
        <w:rPr>
          <w:b/>
          <w:bCs/>
          <w:sz w:val="28"/>
          <w:szCs w:val="28"/>
          <w:lang w:eastAsia="ru-RU"/>
        </w:rPr>
        <w:br/>
        <w:t xml:space="preserve">при предоставлении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  <w:t xml:space="preserve">, и способы ее взимания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Взимание государственной пошлины или иной платы за предоставление Услуги законодательством Российской Федерации не предусмотрено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Максимальный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срок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ожидания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в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очере</w:t>
      </w:r>
      <w:r>
        <w:rPr>
          <w:b/>
          <w:bCs/>
          <w:sz w:val="28"/>
          <w:szCs w:val="28"/>
          <w:lang w:eastAsia="ru-RU"/>
        </w:rPr>
        <w:t xml:space="preserve">ди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подаче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заявителем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заявления</w:t>
      </w:r>
      <w:r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ожидания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очереди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15 </w:t>
      </w:r>
      <w:r>
        <w:rPr>
          <w:sz w:val="28"/>
          <w:szCs w:val="28"/>
          <w:lang w:eastAsia="ru-RU"/>
        </w:rPr>
        <w:t xml:space="preserve">минут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Максимальный срок ожидания в оч</w:t>
      </w:r>
      <w:r>
        <w:rPr>
          <w:sz w:val="28"/>
          <w:szCs w:val="28"/>
          <w:lang w:eastAsia="ru-RU"/>
        </w:rPr>
        <w:t xml:space="preserve">ереди при получении результата</w:t>
      </w:r>
      <w:r>
        <w:rPr>
          <w:sz w:val="28"/>
          <w:szCs w:val="28"/>
          <w:lang w:eastAsia="ru-RU"/>
        </w:rPr>
        <w:t xml:space="preserve"> Услуги составляет 15 минут.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Срок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регистрации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заявления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,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,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>
        <w:rPr>
          <w:b/>
          <w:bCs/>
          <w:sz w:val="28"/>
          <w:szCs w:val="28"/>
          <w:lang w:eastAsia="ru-RU"/>
        </w:rPr>
        <w:t xml:space="preserve">Услуга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Требования к помещениям, в которых предоставляется Услуга, размещены на официальном сайте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</w:rPr>
        <w:t xml:space="preserve"> в сети «Интернет», а также на Едином портале.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</w:t>
      </w:r>
      <w:r>
        <w:rPr>
          <w:b/>
          <w:bCs/>
          <w:sz w:val="28"/>
          <w:szCs w:val="28"/>
          <w:lang w:eastAsia="ru-RU"/>
        </w:rPr>
        <w:t xml:space="preserve">казатели доступности и качества У</w:t>
      </w:r>
      <w:r>
        <w:rPr>
          <w:b/>
          <w:bCs/>
          <w:sz w:val="28"/>
          <w:szCs w:val="28"/>
          <w:lang w:eastAsia="ru-RU"/>
        </w:rPr>
        <w:t xml:space="preserve">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Показатели доступности и качества Услуги размещены на официальном сайте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  <w:lang w:eastAsia="ru-RU"/>
        </w:rPr>
        <w:t xml:space="preserve"> в сети «Интернет», а также на Едином портале.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Иные требования к предоставлению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rFonts w:eastAsia="Calibri"/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Информационные системы, используемые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Единый портал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единая система межведомственного электронного взаимодействия</w:t>
      </w:r>
      <w:r>
        <w:rPr>
          <w:rStyle w:val="1001"/>
          <w:sz w:val="28"/>
          <w:szCs w:val="28"/>
          <w:lang w:eastAsia="ru-RU"/>
        </w:rPr>
        <w:footnoteReference w:id="4"/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III</w:t>
      </w:r>
      <w:r>
        <w:rPr>
          <w:b/>
          <w:bCs/>
          <w:sz w:val="28"/>
          <w:szCs w:val="28"/>
          <w:lang w:eastAsia="ru-RU"/>
        </w:rPr>
        <w:t xml:space="preserve">. </w:t>
      </w:r>
      <w:r>
        <w:rPr>
          <w:b/>
          <w:bCs/>
          <w:sz w:val="28"/>
          <w:szCs w:val="28"/>
          <w:lang w:eastAsia="ru-RU"/>
        </w:rPr>
        <w:t xml:space="preserve">С</w:t>
      </w:r>
      <w:r>
        <w:rPr>
          <w:b/>
          <w:bCs/>
          <w:sz w:val="28"/>
          <w:szCs w:val="28"/>
          <w:lang w:eastAsia="ru-RU"/>
        </w:rPr>
        <w:t xml:space="preserve">остав, последовательность и сроки выполнения административных процедур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Перечень вариантов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утверждением схемы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вариантами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4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5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6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7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8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9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10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11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12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13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14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15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16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17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18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19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20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21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22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23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24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25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26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27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28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не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29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30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31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находится в залоге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32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образование земельного участка, предоставленного на праве постоянного (бессрочного) пользования, пожизненно</w:t>
      </w:r>
      <w:r>
        <w:rPr>
          <w:sz w:val="28"/>
          <w:szCs w:val="28"/>
          <w:lang w:val="en-US"/>
        </w:rPr>
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право на исходный земельный участок зарегистрировано в Едином государственном реестре недвижимости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согласие правообладателей исходных земельных участков на образование земельного участка (земельных участков) не требуется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исходный земельный участок не находится в залоге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исправлением допущенных опечаток и (или) ошибок в выданных в результате предоставления Услуги документах и (или) созданных реестровых записях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вариантами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33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физическое лицо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34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индивидуальный предприниматель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35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юридическое лицо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36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уполномоченный представитель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оставления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без рассмотрения не предусмотрена.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Профилирование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заявителя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Вариант определяется</w:t>
      </w:r>
      <w:r>
        <w:rPr>
          <w:sz w:val="28"/>
          <w:szCs w:val="28"/>
          <w:lang w:eastAsia="ru-RU"/>
        </w:rPr>
        <w:t xml:space="preserve"> путем </w:t>
      </w:r>
      <w:r>
        <w:rPr>
          <w:sz w:val="28"/>
          <w:szCs w:val="28"/>
          <w:lang w:eastAsia="ru-RU"/>
        </w:rPr>
        <w:t xml:space="preserve">профилирования</w:t>
      </w:r>
      <w:r>
        <w:rPr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>
        <w:rPr>
          <w:sz w:val="28"/>
          <w:szCs w:val="28"/>
          <w:lang w:eastAsia="ru-RU"/>
        </w:rPr>
        <w:t xml:space="preserve"> </w:t>
      </w:r>
      <w:r>
        <w:rPr>
          <w:sz w:val="28"/>
          <w:szCs w:val="28"/>
          <w:lang w:eastAsia="ru-RU"/>
        </w:rPr>
        <w:t xml:space="preserve">1 к настоящему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дминистративному регламенту.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Профилирование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осуществ</w:t>
      </w:r>
      <w:r>
        <w:rPr>
          <w:sz w:val="28"/>
          <w:szCs w:val="28"/>
          <w:lang w:eastAsia="ru-RU"/>
        </w:rPr>
        <w:t xml:space="preserve">ляется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посредством почтового отправления</w:t>
      </w:r>
      <w:r>
        <w:rPr>
          <w:sz w:val="28"/>
          <w:szCs w:val="28"/>
          <w:lang w:val="en-US" w:eastAsia="ru-RU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в Органе власти</w:t>
      </w:r>
      <w:r>
        <w:rPr>
          <w:sz w:val="28"/>
          <w:szCs w:val="28"/>
          <w:lang w:val="en-US" w:eastAsia="ru-RU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посредством Единого портала</w:t>
      </w:r>
      <w:r>
        <w:rPr>
          <w:sz w:val="28"/>
          <w:szCs w:val="28"/>
          <w:lang w:val="en-US" w:eastAsia="ru-RU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в МФЦ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результатам получения ответов от заявителя на вопросы </w:t>
      </w:r>
      <w:r>
        <w:rPr>
          <w:sz w:val="28"/>
          <w:szCs w:val="28"/>
          <w:lang w:eastAsia="ru-RU"/>
        </w:rPr>
        <w:t xml:space="preserve">профилирования</w:t>
      </w:r>
      <w:r>
        <w:rPr>
          <w:sz w:val="28"/>
          <w:szCs w:val="28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дминистративным регламентом, каждая из которых соответствует одному варианту.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О</w:t>
      </w:r>
      <w:r>
        <w:rPr>
          <w:sz w:val="28"/>
          <w:szCs w:val="28"/>
          <w:lang w:eastAsia="ru-RU"/>
        </w:rPr>
        <w:t xml:space="preserve">писания</w:t>
      </w:r>
      <w:r>
        <w:rPr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>
        <w:rPr>
          <w:sz w:val="28"/>
          <w:szCs w:val="28"/>
          <w:lang w:eastAsia="ru-RU"/>
        </w:rPr>
        <w:t xml:space="preserve">Органом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общедоступном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ознакомления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месте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согласие залогодержателей исходного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правообладателей на образование земельных участков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согласия различных субъектов, необходимые для получения Услуги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согласие залогодержателей исходного земельного участка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ЕСИА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Выписка из государственной ИСОГД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Орган местного самоуправления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lang w:val="en-US"/>
        </w:rPr>
        <w:t xml:space="preserve"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рабочих 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lang w:val="en-US"/>
        </w:rPr>
        <w:t xml:space="preserve">48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часов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 момента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получения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посредством почтового отправления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Единого портала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посредством электронной почты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 дня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 дня принятия решения</w:t>
      </w:r>
      <w:r>
        <w:rPr>
          <w:sz w:val="28"/>
          <w:szCs w:val="28"/>
          <w:lang w:eastAsia="ru-RU"/>
        </w:rPr>
        <w:t xml:space="preserve">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межведомственное информационное взаимодействие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lang w:eastAsia="ru-RU"/>
        </w:rPr>
        <w:t xml:space="preserve">, которые заявитель вправе пред</w:t>
      </w:r>
      <w:r>
        <w:rPr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lang w:eastAsia="ru-RU"/>
        </w:rPr>
        <w:t xml:space="preserve"> заявителя</w:t>
      </w:r>
      <w:r>
        <w:rPr>
          <w:sz w:val="28"/>
          <w:szCs w:val="28"/>
          <w:lang w:eastAsia="ru-RU"/>
        </w:rPr>
        <w:t xml:space="preserve"> при взаимодействии с заявителями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 отказывает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</w:t>
      </w:r>
      <w:r>
        <w:rPr>
          <w:sz w:val="28"/>
          <w:szCs w:val="28"/>
          <w:lang w:eastAsia="ru-RU"/>
        </w:rPr>
        <w:t xml:space="preserve">предоставления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межведомственное информационное взаимодействие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lang w:eastAsia="ru-RU"/>
        </w:rPr>
        <w:t xml:space="preserve">, которые заявитель вправе пред</w:t>
      </w:r>
      <w:r>
        <w:rPr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lang w:eastAsia="ru-RU"/>
        </w:rPr>
        <w:t xml:space="preserve"> заявителя</w:t>
      </w:r>
      <w:r>
        <w:rPr>
          <w:sz w:val="28"/>
          <w:szCs w:val="28"/>
          <w:lang w:eastAsia="ru-RU"/>
        </w:rPr>
        <w:t xml:space="preserve"> при взаимодействии с заявителями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 отказывает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</w:t>
      </w:r>
      <w:r>
        <w:rPr>
          <w:sz w:val="28"/>
          <w:szCs w:val="28"/>
          <w:lang w:eastAsia="ru-RU"/>
        </w:rPr>
        <w:t xml:space="preserve">предоставления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</w:t>
      </w:r>
      <w:r>
        <w:rPr>
          <w:sz w:val="28"/>
          <w:szCs w:val="28"/>
          <w:highlight w:val="white"/>
          <w:lang w:eastAsia="ru-RU"/>
        </w:rPr>
        <w:t xml:space="preserve">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межведомственное информационное взаимодействие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lang w:eastAsia="ru-RU"/>
        </w:rPr>
        <w:t xml:space="preserve">, которые заявитель вправе пред</w:t>
      </w:r>
      <w:r>
        <w:rPr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lang w:eastAsia="ru-RU"/>
        </w:rPr>
        <w:t xml:space="preserve"> заявителя</w:t>
      </w:r>
      <w:r>
        <w:rPr>
          <w:sz w:val="28"/>
          <w:szCs w:val="28"/>
          <w:lang w:eastAsia="ru-RU"/>
        </w:rPr>
        <w:t xml:space="preserve"> при взаимодействии с заявителями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 отказывает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</w:t>
      </w:r>
      <w:r>
        <w:rPr>
          <w:sz w:val="28"/>
          <w:szCs w:val="28"/>
          <w:lang w:eastAsia="ru-RU"/>
        </w:rPr>
        <w:t xml:space="preserve">предоставления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pStyle w:val="991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13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  <w:lang w:val="en-US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межведомственное информационное взаимодействие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,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lang w:val="en-US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lang w:eastAsia="ru-RU"/>
        </w:rPr>
        <w:t xml:space="preserve">, которые заявитель вправе пред</w:t>
      </w:r>
      <w:r>
        <w:rPr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</w:r>
      <w:r>
        <w:rPr>
          <w:sz w:val="28"/>
          <w:szCs w:val="28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lang w:eastAsia="ru-RU"/>
        </w:rPr>
        <w:t xml:space="preserve"> заявителя</w:t>
      </w:r>
      <w:r>
        <w:rPr>
          <w:sz w:val="28"/>
          <w:szCs w:val="28"/>
          <w:lang w:eastAsia="ru-RU"/>
        </w:rPr>
        <w:t xml:space="preserve"> при взаимодействии с заявителями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 отказывает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</w:t>
      </w:r>
      <w:r>
        <w:rPr>
          <w:sz w:val="28"/>
          <w:szCs w:val="28"/>
          <w:lang w:eastAsia="ru-RU"/>
        </w:rPr>
        <w:t xml:space="preserve">предоставления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t xml:space="preserve">Орган власти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IV</w:t>
      </w:r>
      <w:r>
        <w:rPr>
          <w:b/>
          <w:bCs/>
          <w:sz w:val="28"/>
          <w:szCs w:val="28"/>
          <w:lang w:eastAsia="ru-RU"/>
        </w:rPr>
        <w:t xml:space="preserve">. Формы контроля за исполнением </w:t>
      </w:r>
      <w:r>
        <w:rPr>
          <w:b/>
          <w:bCs/>
          <w:sz w:val="28"/>
          <w:szCs w:val="28"/>
          <w:lang w:eastAsia="ru-RU"/>
        </w:rPr>
        <w:t xml:space="preserve">А</w:t>
      </w:r>
      <w:r>
        <w:rPr>
          <w:b/>
          <w:bCs/>
          <w:sz w:val="28"/>
          <w:szCs w:val="28"/>
          <w:lang w:eastAsia="ru-RU"/>
        </w:rPr>
        <w:t xml:space="preserve">дминистративного регламента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Порядок осуществления текущего контроля за соблюдением и исполнением ответственными должностными лицами положений</w:t>
      </w:r>
      <w:r>
        <w:rPr>
          <w:b/>
          <w:bCs/>
          <w:sz w:val="28"/>
          <w:szCs w:val="28"/>
          <w:lang w:eastAsia="ru-RU"/>
        </w:rPr>
        <w:t xml:space="preserve"> Административного</w:t>
      </w:r>
      <w:r>
        <w:rPr>
          <w:b/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  <w:t xml:space="preserve">, а также принятием ими решений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настоящего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дминистративного регламента, а также иных нормативных правовых актов, устанавливающих требования к предоставлению Услуги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также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принятием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ими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решений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уполномоченным руководителем (заместителем руководителя)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Текущий контроль осуществляется посредством проведения плановых и внеплановых проверок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Плановые проверки проводятся на основе </w:t>
      </w:r>
      <w:r>
        <w:rPr>
          <w:sz w:val="28"/>
          <w:szCs w:val="28"/>
          <w:lang w:eastAsia="ru-RU"/>
        </w:rPr>
        <w:t xml:space="preserve">ежегодно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утверждаемого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плана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внеплановые</w:t>
      </w:r>
      <w:r>
        <w:rPr>
          <w:sz w:val="28"/>
          <w:szCs w:val="28"/>
          <w:lang w:val="en-US" w:eastAsia="ru-RU"/>
        </w:rPr>
        <w:t xml:space="preserve"> –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по решению лиц, ответственн</w:t>
      </w:r>
      <w:r>
        <w:rPr>
          <w:sz w:val="28"/>
          <w:szCs w:val="28"/>
          <w:lang w:eastAsia="ru-RU"/>
        </w:rPr>
        <w:t xml:space="preserve">ых</w:t>
      </w:r>
      <w:r>
        <w:rPr>
          <w:sz w:val="28"/>
          <w:szCs w:val="28"/>
          <w:lang w:eastAsia="ru-RU"/>
        </w:rPr>
        <w:t xml:space="preserve"> за проведение проверок.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Проверки проводятся уполномоченными лицами </w:t>
      </w:r>
      <w:r>
        <w:rPr>
          <w:sz w:val="28"/>
          <w:szCs w:val="28"/>
          <w:lang w:eastAsia="ru-RU"/>
        </w:rPr>
        <w:t xml:space="preserve">Органа</w:t>
      </w:r>
      <w:r>
        <w:rPr>
          <w:sz w:val="28"/>
          <w:szCs w:val="28"/>
          <w:lang w:eastAsia="ru-RU"/>
        </w:rPr>
        <w:t xml:space="preserve"> власти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Ответственность должностных лиц органа, п</w:t>
      </w:r>
      <w:r>
        <w:rPr>
          <w:b/>
          <w:bCs/>
          <w:sz w:val="28"/>
          <w:szCs w:val="28"/>
          <w:lang w:eastAsia="ru-RU"/>
        </w:rPr>
        <w:t xml:space="preserve">редоставляющего У</w:t>
      </w:r>
      <w:r>
        <w:rPr>
          <w:b/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Нарушившие требования</w:t>
      </w:r>
      <w:r>
        <w:rPr>
          <w:sz w:val="28"/>
          <w:szCs w:val="28"/>
          <w:lang w:eastAsia="ru-RU"/>
        </w:rPr>
        <w:t xml:space="preserve"> настоящего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дминистративного регламента должностные лица несут ответственность в соответствии с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>
        <w:rPr>
          <w:b/>
          <w:bCs/>
          <w:sz w:val="28"/>
          <w:szCs w:val="28"/>
          <w:lang w:eastAsia="ru-RU"/>
        </w:rPr>
        <w:t xml:space="preserve">предоставлением У</w:t>
      </w:r>
      <w:r>
        <w:rPr>
          <w:b/>
          <w:bCs/>
          <w:sz w:val="28"/>
          <w:szCs w:val="28"/>
          <w:lang w:eastAsia="ru-RU"/>
        </w:rPr>
        <w:t xml:space="preserve">слуги, в том числе со стороны граждан, их объединений и организаций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Контроль за предоставлением Услуги, в том ч</w:t>
      </w:r>
      <w:r>
        <w:rPr>
          <w:sz w:val="28"/>
          <w:szCs w:val="28"/>
          <w:lang w:eastAsia="ru-RU"/>
        </w:rPr>
        <w:t xml:space="preserve">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V</w:t>
      </w:r>
      <w:r>
        <w:rPr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>
        <w:rPr>
          <w:b/>
          <w:bCs/>
          <w:sz w:val="28"/>
          <w:szCs w:val="28"/>
          <w:lang w:eastAsia="ru-RU"/>
        </w:rPr>
        <w:t xml:space="preserve">Услугу</w:t>
      </w:r>
      <w:r>
        <w:rPr>
          <w:b/>
          <w:bCs/>
          <w:sz w:val="28"/>
          <w:szCs w:val="28"/>
          <w:lang w:eastAsia="ru-RU"/>
        </w:rPr>
        <w:t xml:space="preserve"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Информирование заявителей о порядке </w:t>
      </w:r>
      <w:r>
        <w:rPr>
          <w:sz w:val="28"/>
          <w:szCs w:val="28"/>
          <w:lang w:eastAsia="ru-RU"/>
        </w:rPr>
        <w:t xml:space="preserve">досудебного (внесудебного) обжалования</w:t>
      </w:r>
      <w:r>
        <w:rPr>
          <w:sz w:val="28"/>
          <w:szCs w:val="28"/>
          <w:lang w:eastAsia="ru-RU"/>
        </w:rPr>
        <w:t xml:space="preserve"> осуществляется посредством размещения информации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на Едином портале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официальном сайте Органа власти в сети «Интернет»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информационных стендах в местах предоставления Услуги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официальном сайте МФЦ в сети «Интернет»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  <w:lang w:eastAsia="ru-RU"/>
        </w:rPr>
        <w:t xml:space="preserve">Жалобы в форме электронных документов направляются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официального сайта Органа власти в сети «Интернет»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личный кабинет на Едином портале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через портал Федеральной государственной информационной системы «Досудебное обжалование» http://do.gosuslugi.ru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официальном сайте МФЦ</w:t>
      </w:r>
      <w:r>
        <w:rPr>
          <w:sz w:val="28"/>
          <w:szCs w:val="28"/>
        </w:rPr>
        <w:t xml:space="preserve">.</w:t>
      </w:r>
      <w:r>
        <w:t xml:space="preserve"> </w:t>
      </w:r>
      <w:r/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Жалобы в форме документов</w:t>
      </w:r>
      <w:r>
        <w:rPr>
          <w:sz w:val="28"/>
          <w:szCs w:val="28"/>
          <w:lang w:eastAsia="ru-RU"/>
        </w:rPr>
        <w:t xml:space="preserve"> на бумажном носителе</w:t>
      </w:r>
      <w:r>
        <w:rPr>
          <w:sz w:val="28"/>
          <w:szCs w:val="28"/>
          <w:lang w:eastAsia="ru-RU"/>
        </w:rPr>
        <w:t xml:space="preserve"> направляются </w:t>
      </w:r>
      <w:r>
        <w:rPr>
          <w:sz w:val="28"/>
          <w:szCs w:val="28"/>
        </w:rPr>
        <w:t xml:space="preserve">путем направления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 личном обращении в Орган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через МФЦ (при наличии Услуги в соглашении о взаимодействии)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160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2"/>
        <w:ind w:left="6237"/>
        <w:rPr>
          <w:sz w:val="28"/>
          <w:szCs w:val="28"/>
        </w:rPr>
        <w:outlineLvl w:val="0"/>
      </w:pP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2"/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к Административному регламенту, утвержденному 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 и земельных отношений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2"/>
        <w:ind w:left="6237"/>
        <w:rPr>
          <w:sz w:val="28"/>
          <w:szCs w:val="28"/>
          <w:lang w:val="en-US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27. 12. 2024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 xml:space="preserve">4373-НПА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jc w:val="both"/>
        <w:rPr>
          <w:b/>
          <w:bCs/>
          <w:sz w:val="28"/>
          <w:szCs w:val="28"/>
          <w:lang w:val="en-US" w:eastAsia="ru-RU"/>
        </w:rPr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jc w:val="center"/>
        <w:spacing w:after="24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Перечень</w:t>
      </w:r>
      <w:r>
        <w:rPr>
          <w:b/>
          <w:bCs/>
          <w:sz w:val="28"/>
          <w:szCs w:val="28"/>
          <w:lang w:eastAsia="ru-RU"/>
        </w:rPr>
        <w:t xml:space="preserve"> общих</w:t>
      </w:r>
      <w:r>
        <w:rPr>
          <w:b/>
          <w:bCs/>
          <w:sz w:val="28"/>
          <w:szCs w:val="28"/>
          <w:lang w:eastAsia="ru-RU"/>
        </w:rPr>
        <w:t xml:space="preserve"> признаков заявит</w:t>
      </w:r>
      <w:r>
        <w:rPr>
          <w:b/>
          <w:bCs/>
          <w:sz w:val="28"/>
          <w:szCs w:val="28"/>
          <w:lang w:eastAsia="ru-RU"/>
        </w:rPr>
        <w:t xml:space="preserve">елей</w:t>
      </w:r>
      <w:r>
        <w:rPr>
          <w:b/>
          <w:bCs/>
          <w:sz w:val="28"/>
          <w:szCs w:val="28"/>
          <w:lang w:eastAsia="ru-RU"/>
        </w:rPr>
        <w:t xml:space="preserve">, </w:t>
      </w:r>
      <w:r>
        <w:rPr>
          <w:b/>
          <w:bCs/>
          <w:sz w:val="28"/>
          <w:szCs w:val="28"/>
          <w:lang w:eastAsia="ru-RU"/>
        </w:rPr>
        <w:br/>
        <w:t xml:space="preserve">а также комбинации значений признаков, каждая из которых соответствует одному</w:t>
      </w:r>
      <w:r>
        <w:rPr>
          <w:b/>
          <w:bCs/>
          <w:sz w:val="28"/>
          <w:szCs w:val="28"/>
          <w:lang w:eastAsia="ru-RU"/>
        </w:rPr>
        <w:t xml:space="preserve"> варианту предоставления У</w:t>
      </w:r>
      <w:r>
        <w:rPr>
          <w:b/>
          <w:bCs/>
          <w:sz w:val="28"/>
          <w:szCs w:val="28"/>
          <w:lang w:eastAsia="ru-RU"/>
        </w:rPr>
        <w:t xml:space="preserve">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firstLine="709"/>
        <w:jc w:val="both"/>
        <w:spacing w:before="24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Таблица </w:t>
      </w:r>
      <w:r>
        <w:rPr>
          <w:sz w:val="28"/>
          <w:szCs w:val="28"/>
          <w:lang w:eastAsia="ru-RU"/>
        </w:rPr>
        <w:t xml:space="preserve">1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 xml:space="preserve">Круг заявителей в соответствии с вариантами предоставления Услуги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tbl>
      <w:tblPr>
        <w:tblStyle w:val="989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>
        <w:tblPrEx/>
        <w:trPr>
          <w:trHeight w:val="567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№ варианта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tcW w:w="8931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Комбинация значений признаков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</w:tr>
      <w:tr>
        <w:tblPrEx/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Услуги</w:t>
            </w:r>
            <w:r>
              <w:rPr>
                <w:i/>
                <w:szCs w:val="20"/>
              </w:rPr>
              <w:t xml:space="preserve">,</w:t>
            </w:r>
            <w:r>
              <w:rPr>
                <w:i/>
                <w:szCs w:val="20"/>
              </w:rPr>
              <w:t xml:space="preserve"> за которым обращается заявитель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Утверждение схемы расположения земельного участка на кадастровом плане территории</w:t>
            </w:r>
            <w:r>
              <w:rPr>
                <w:i/>
                <w:szCs w:val="20"/>
              </w:rPr>
              <w:t xml:space="preserve">»</w:t>
            </w:r>
            <w:r>
              <w:rPr>
                <w:i/>
                <w:iCs/>
                <w:szCs w:val="20"/>
                <w:lang w:eastAsia="ru-RU"/>
              </w:rPr>
            </w:r>
            <w:r>
              <w:rPr>
                <w:i/>
                <w:iCs/>
                <w:szCs w:val="20"/>
                <w:lang w:eastAsia="ru-RU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Услуги</w:t>
            </w:r>
            <w:r>
              <w:rPr>
                <w:i/>
                <w:szCs w:val="20"/>
              </w:rPr>
              <w:t xml:space="preserve">,</w:t>
            </w:r>
            <w:r>
              <w:rPr>
                <w:i/>
                <w:szCs w:val="20"/>
              </w:rPr>
              <w:t xml:space="preserve"> за которым обращается заявитель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Исправление допущенных опечаток и (или) ошибок в выданных в результате предоставления Услуги документах и (или) созданных реестровых записях</w:t>
            </w:r>
            <w:r>
              <w:rPr>
                <w:i/>
                <w:szCs w:val="20"/>
              </w:rPr>
              <w:t xml:space="preserve">»</w:t>
            </w:r>
            <w:r>
              <w:rPr>
                <w:i/>
                <w:iCs/>
                <w:szCs w:val="20"/>
                <w:lang w:eastAsia="ru-RU"/>
              </w:rPr>
            </w:r>
            <w:r>
              <w:rPr>
                <w:i/>
                <w:iCs/>
                <w:szCs w:val="20"/>
                <w:lang w:eastAsia="ru-RU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</w:tbl>
    <w:p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Таблица 2. Перечень </w:t>
      </w:r>
      <w:r>
        <w:rPr>
          <w:sz w:val="28"/>
          <w:szCs w:val="28"/>
          <w:lang w:eastAsia="ru-RU"/>
        </w:rPr>
        <w:t xml:space="preserve">общих </w:t>
      </w:r>
      <w:r>
        <w:rPr>
          <w:sz w:val="28"/>
          <w:szCs w:val="28"/>
          <w:lang w:eastAsia="ru-RU"/>
        </w:rPr>
        <w:t xml:space="preserve">признаков заявит</w:t>
      </w:r>
      <w:r>
        <w:rPr>
          <w:sz w:val="28"/>
          <w:szCs w:val="28"/>
          <w:lang w:eastAsia="ru-RU"/>
        </w:rPr>
        <w:t xml:space="preserve">елей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tbl>
      <w:tblPr>
        <w:tblW w:w="1006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>
        <w:tblPrEx/>
        <w:trPr>
          <w:trHeight w:val="815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№ п/п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Признак заявителя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595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Значени</w:t>
            </w:r>
            <w:r>
              <w:rPr>
                <w:b/>
                <w:bCs/>
                <w:szCs w:val="20"/>
                <w:lang w:eastAsia="ru-RU"/>
              </w:rPr>
              <w:t xml:space="preserve">я признака заявителя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</w:tr>
      <w:tr>
        <w:tblPrEx/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szCs w:val="20"/>
              </w:rPr>
              <w:t xml:space="preserve">Услуги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iCs/>
                <w:szCs w:val="20"/>
                <w:lang w:val="en-US" w:eastAsia="ru-RU"/>
              </w:rPr>
              <w:t xml:space="preserve">«</w:t>
            </w:r>
            <w:r>
              <w:rPr>
                <w:i/>
                <w:szCs w:val="20"/>
                <w:lang w:val="en-US"/>
              </w:rPr>
              <w:t xml:space="preserve">Утверждение схемы расположения земельного участка на кадастровом плане территории</w:t>
            </w:r>
            <w:r>
              <w:rPr>
                <w:i/>
                <w:szCs w:val="20"/>
                <w:lang w:val="en-US"/>
              </w:rPr>
              <w:t xml:space="preserve">»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2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3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4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цель утверждения схемы расположения земельного участка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Образование земельного участка, предоставленного на праве постоянного (бессрочного) пользования, пожизненно</w:t>
            </w:r>
            <w:r>
              <w:rPr>
                <w:szCs w:val="20"/>
                <w:lang w:val="en-US"/>
              </w:rPr>
              <w:t xml:space="preserve">го наследуемого владения, безвозмездного пользования или аренды, при разделе земельного участка или объединении земельных участков (за исключением образования земельных участков в рамках иных процедур, установленных Земельным кодексом Российской Федерации)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Право на исходный земельный участок зарегистрировано в Едином государственном реестре недвижимости?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Право на исходный земельный участок не зарегистрировано в Едином государственном реестре недвижимости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2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Право на исходный земельный участок зарегистрировано в Едином государственном реестре недвижимости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Требуется ли согласие правообладателей исходных земельных участков на образование земельного участка (земельных участков)?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Согласие правообладателей исходных земельных участков на образование земельного участка (земельных участков) требуется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2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Согласие правообладателей исходных земельных участков на образование земельного участка (земельных участков) не требуется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Исходный земельный участок находится в залоге?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Исходный земельный участок находится в залоге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2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Исходный земельный участок не находится в залоге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szCs w:val="20"/>
              </w:rPr>
              <w:t xml:space="preserve">Услуги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iCs/>
                <w:szCs w:val="20"/>
                <w:lang w:val="en-US" w:eastAsia="ru-RU"/>
              </w:rPr>
              <w:t xml:space="preserve">«</w:t>
            </w:r>
            <w:r>
              <w:rPr>
                <w:i/>
                <w:szCs w:val="20"/>
                <w:lang w:val="en-US"/>
              </w:rPr>
              <w:t xml:space="preserve">Исправление допущенных опечаток и (или) ошибок в выданных в результате предоставления Услуги документах и (или) созданных реестровых записях</w:t>
            </w:r>
            <w:r>
              <w:rPr>
                <w:i/>
                <w:szCs w:val="20"/>
                <w:lang w:val="en-US"/>
              </w:rPr>
              <w:t xml:space="preserve">»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2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3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4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</w:tbl>
    <w:p>
      <w:pPr>
        <w:pStyle w:val="988"/>
        <w:ind w:firstLine="0"/>
        <w:keepNext/>
        <w:spacing w:line="240" w:lineRule="auto"/>
        <w:tabs>
          <w:tab w:val="clear" w:pos="851" w:leader="none"/>
        </w:tabs>
        <w:rPr>
          <w:sz w:val="28"/>
          <w:szCs w:val="28"/>
          <w:lang w:val="en-US"/>
        </w:rPr>
      </w:pPr>
      <w:r>
        <w:rPr>
          <w:sz w:val="20"/>
          <w:lang w:val="en-US"/>
        </w:rPr>
      </w:r>
      <w:r>
        <w:rPr>
          <w:sz w:val="28"/>
          <w:szCs w:val="28"/>
          <w:lang w:val="en-US" w:eastAsia="ru-RU"/>
        </w:rPr>
        <w:br w:type="page" w:clear="all"/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1002"/>
        <w:ind w:left="6237"/>
        <w:rPr>
          <w:sz w:val="28"/>
          <w:szCs w:val="28"/>
          <w:lang w:val="en-US"/>
        </w:rPr>
        <w:outlineLvl w:val="0"/>
      </w:pPr>
      <w:r>
        <w:rPr>
          <w:lang w:val="en-US"/>
        </w:rPr>
      </w:r>
      <w:r>
        <w:rPr>
          <w:sz w:val="28"/>
          <w:szCs w:val="28"/>
        </w:rPr>
        <w:t xml:space="preserve">Приложение</w:t>
      </w:r>
      <w:r>
        <w:rPr>
          <w:sz w:val="28"/>
          <w:szCs w:val="28"/>
          <w:lang w:val="en-US"/>
        </w:rPr>
        <w:t xml:space="preserve"> № 2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1002"/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к Административному регламенту, утвержденному 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 и земельных отношений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2"/>
        <w:ind w:left="6237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27.12.2024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 xml:space="preserve">4373-НПА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1002"/>
        <w:ind w:left="623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88"/>
        <w:ind w:firstLine="0"/>
        <w:jc w:val="left"/>
        <w:spacing w:line="240" w:lineRule="auto"/>
        <w:tabs>
          <w:tab w:val="clear" w:pos="851" w:leader="none"/>
        </w:tabs>
        <w:rPr>
          <w:sz w:val="20"/>
          <w:lang w:val="en-US"/>
        </w:rPr>
      </w:pPr>
      <w:r>
        <w:rPr>
          <w:sz w:val="20"/>
          <w:lang w:val="en-US"/>
        </w:rPr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</w:r>
      <w:r>
        <w:rPr>
          <w:sz w:val="20"/>
          <w:lang w:val="en-US"/>
        </w:rPr>
      </w:r>
    </w:p>
    <w:p>
      <w:pPr>
        <w:pStyle w:val="988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  <w:lang w:val="en-US"/>
        </w:rPr>
      </w:pPr>
      <w:r>
        <w:rPr>
          <w:sz w:val="20"/>
          <w:u w:val="single"/>
          <w:lang w:val="en-US"/>
        </w:rPr>
      </w:r>
      <w:r>
        <w:rPr>
          <w:sz w:val="20"/>
          <w:u w:val="single"/>
        </w:rPr>
        <w:t xml:space="preserve"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 xml:space="preserve">вариантам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  <w:lang w:val="en-US"/>
        </w:rPr>
        <w:t xml:space="preserve">1</w:t>
      </w:r>
      <w:r>
        <w:rPr>
          <w:sz w:val="20"/>
          <w:u w:val="single"/>
          <w:lang w:val="en-US"/>
        </w:rPr>
        <w:t xml:space="preserve"> – </w:t>
      </w:r>
      <w:r>
        <w:rPr>
          <w:sz w:val="20"/>
          <w:u w:val="single"/>
          <w:lang w:val="en-US"/>
        </w:rPr>
        <w:t xml:space="preserve">32</w:t>
      </w:r>
      <w:r>
        <w:rPr>
          <w:sz w:val="20"/>
          <w:u w:val="single"/>
          <w:lang w:val="en-US"/>
        </w:rPr>
      </w:r>
      <w:r>
        <w:rPr>
          <w:sz w:val="20"/>
          <w:u w:val="single"/>
          <w:lang w:val="en-US"/>
        </w:rPr>
      </w:r>
    </w:p>
    <w:p>
      <w:pPr>
        <w:rPr>
          <w:szCs w:val="20"/>
          <w:lang w:val="en-US"/>
        </w:rPr>
      </w:pPr>
      <w:r>
        <w:rPr>
          <w:szCs w:val="20"/>
          <w:lang w:val="en-US"/>
        </w:rPr>
      </w:r>
      <w:r>
        <w:rPr>
          <w:sz w:val="24"/>
          <w:szCs w:val="24"/>
          <w:lang w:val="en-US"/>
        </w:rPr>
        <w:t xml:space="preserve"> </w:t>
      </w:r>
      <w:r>
        <w:rPr>
          <w:szCs w:val="20"/>
          <w:lang w:val="en-US"/>
        </w:rPr>
      </w:r>
      <w:r>
        <w:rPr>
          <w:szCs w:val="20"/>
          <w:lang w:val="en-US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о предоставлении </w:t>
      </w:r>
      <w:r>
        <w:rPr>
          <w:sz w:val="24"/>
          <w:szCs w:val="24"/>
        </w:rPr>
        <w:t xml:space="preserve">У</w:t>
      </w:r>
      <w:r>
        <w:rPr>
          <w:sz w:val="24"/>
          <w:szCs w:val="24"/>
        </w:rPr>
        <w:t xml:space="preserve">слуги «</w:t>
      </w:r>
      <w:r>
        <w:rPr>
          <w:sz w:val="24"/>
          <w:szCs w:val="24"/>
        </w:rPr>
        <w:t xml:space="preserve">Утверждение схемы расположения земельного участка или земельных участков, государственная собственность на которые не разграничена, на кадастровом плане территории</w:t>
      </w:r>
      <w:r>
        <w:rPr>
          <w:sz w:val="24"/>
          <w:szCs w:val="24"/>
          <w:lang w:val="en-US"/>
        </w:rPr>
        <w:t xml:space="preserve">»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 заявителе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ФИО заявителя (отчество при наличии)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идентификационный номер налогоплательщика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основной государственный регистрационный номер юридического лица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полное наименование юридического лица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адрес места жительства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фамилия, имя, отчество (при наличии) индивидуального предпринимателя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основной государственный регистрационный номер индивидуального предпринимателя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данные документа, удостоверяющего личность (для физического лица)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место нахождения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почтовый адрес для связи с заявителем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адрес электронной почты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номер телефона (с указанием кода) (при наличии)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 земельном участке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кадастровый номер земельного участка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адрес или описание местоположения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общая площадь (кв.м.)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номер кадастрового квартала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категория земель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Вид права, в соответствии с которым осуществляется использование земельного участка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Цель использования земельного участка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цель использования земельного участка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Реквизиты решения об утверждении документа территориального планирования и (или) проекта планировки территории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номер документа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дата документа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__.__________.____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наименование органа, принявшего решение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В случае, если с заявлением об оказании государственной услуги обращается представитель заявителя, в обязательном порядке представляется документ, подтверждающий полномочия представителя заявителя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реквизиты документа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Дата подачи заявления и подпись заявителя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датa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__.__________.____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подпись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расшифровка подписи (инициалы, фамилия)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br w:type="page" w:clear="all"/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0"/>
          <w:lang w:val="en-US"/>
        </w:rPr>
        <w:t xml:space="preserve"> 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88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  <w:lang w:val="en-US"/>
        </w:rPr>
      </w:pPr>
      <w:r>
        <w:rPr>
          <w:sz w:val="20"/>
          <w:u w:val="single"/>
          <w:lang w:val="en-US"/>
        </w:rPr>
      </w:r>
      <w:r>
        <w:rPr>
          <w:sz w:val="20"/>
          <w:u w:val="single"/>
        </w:rPr>
        <w:t xml:space="preserve"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 xml:space="preserve">вариантам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  <w:lang w:val="en-US"/>
        </w:rPr>
        <w:t xml:space="preserve">33</w:t>
      </w:r>
      <w:r>
        <w:rPr>
          <w:sz w:val="20"/>
          <w:u w:val="single"/>
          <w:lang w:val="en-US"/>
        </w:rPr>
        <w:t xml:space="preserve"> – </w:t>
      </w:r>
      <w:r>
        <w:rPr>
          <w:sz w:val="20"/>
          <w:u w:val="single"/>
          <w:lang w:val="en-US"/>
        </w:rPr>
        <w:t xml:space="preserve">36</w:t>
      </w:r>
      <w:r>
        <w:rPr>
          <w:sz w:val="20"/>
          <w:u w:val="single"/>
          <w:lang w:val="en-US"/>
        </w:rPr>
      </w:r>
      <w:r>
        <w:rPr>
          <w:sz w:val="20"/>
          <w:u w:val="single"/>
          <w:lang w:val="en-US"/>
        </w:rPr>
      </w:r>
    </w:p>
    <w:p>
      <w:pPr>
        <w:rPr>
          <w:szCs w:val="20"/>
          <w:lang w:val="en-US"/>
        </w:rPr>
      </w:pPr>
      <w:r>
        <w:rPr>
          <w:szCs w:val="20"/>
          <w:lang w:val="en-US"/>
        </w:rPr>
      </w:r>
      <w:r>
        <w:rPr>
          <w:sz w:val="24"/>
          <w:szCs w:val="24"/>
          <w:lang w:val="en-US"/>
        </w:rPr>
        <w:t xml:space="preserve"> </w:t>
      </w:r>
      <w:r>
        <w:rPr>
          <w:szCs w:val="20"/>
          <w:lang w:val="en-US"/>
        </w:rPr>
      </w:r>
      <w:r>
        <w:rPr>
          <w:szCs w:val="20"/>
          <w:lang w:val="en-US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о предоставлении </w:t>
      </w:r>
      <w:r>
        <w:rPr>
          <w:sz w:val="24"/>
          <w:szCs w:val="24"/>
        </w:rPr>
        <w:t xml:space="preserve">У</w:t>
      </w:r>
      <w:r>
        <w:rPr>
          <w:sz w:val="24"/>
          <w:szCs w:val="24"/>
        </w:rPr>
        <w:t xml:space="preserve">слуги «</w:t>
      </w:r>
      <w:r>
        <w:rPr>
          <w:sz w:val="24"/>
          <w:szCs w:val="24"/>
        </w:rPr>
        <w:t xml:space="preserve">Утверждение схемы расположения земельного участка или земельных участков, государственная собственность на которые не разграничена, на кадастровом плане территории</w:t>
      </w:r>
      <w:r>
        <w:rPr>
          <w:sz w:val="24"/>
          <w:szCs w:val="24"/>
          <w:lang w:val="en-US"/>
        </w:rPr>
        <w:t xml:space="preserve">»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 допущенных опечатках и (или) ошибках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правильное написание соответствующих сведений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описание опечаток и (или) ошибок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место совершения опечаток и (или) ошибок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В случае, если с заявлением об оказании государственной услуги обращается представитель заявителя, в обязательном порядке представляется документ, подтверждающий полномочия представителя заявителя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реквизиты документа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Дата подачи заявления и подпись заявителя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датa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__.__________.____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подпись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;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расшифровка подписи (инициалы, фамилия)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sectPr>
      <w:headerReference w:type="default" r:id="rId9"/>
      <w:headerReference w:type="first" r:id="rId10"/>
      <w:footnotePr/>
      <w:endnotePr/>
      <w:type w:val="nextPage"/>
      <w:pgSz w:w="11906" w:h="16838" w:orient="portrait"/>
      <w:pgMar w:top="567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Gothic Light">
    <w:panose1 w:val="02000603000000000000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99"/>
        <w:jc w:val="both"/>
      </w:pPr>
      <w:r>
        <w:rPr>
          <w:rStyle w:val="1001"/>
        </w:rPr>
        <w:footnoteRef/>
      </w:r>
      <w:r>
        <w:t xml:space="preserve"> </w:t>
      </w:r>
      <w:r>
        <w:rPr>
          <w:color w:val="000000"/>
        </w:rPr>
        <w:t xml:space="preserve"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  <w:r/>
    </w:p>
  </w:footnote>
  <w:footnote w:id="3">
    <w:p>
      <w:pPr>
        <w:pStyle w:val="999"/>
        <w:jc w:val="both"/>
      </w:pPr>
      <w:r>
        <w:rPr>
          <w:rStyle w:val="1001"/>
        </w:rPr>
        <w:footnoteRef/>
      </w:r>
      <w:r>
        <w:t xml:space="preserve"> </w:t>
      </w:r>
      <w:r>
        <w:rPr>
          <w:color w:val="000000"/>
        </w:rPr>
        <w:t xml:space="preserve"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 xml:space="preserve">едерации от 24.10.2011 № 861</w:t>
      </w:r>
      <w:r>
        <w:rPr>
          <w:color w:val="000000"/>
        </w:rPr>
        <w:t xml:space="preserve">.</w:t>
      </w:r>
      <w:r/>
    </w:p>
  </w:footnote>
  <w:footnote w:id="4">
    <w:p>
      <w:pPr>
        <w:jc w:val="both"/>
        <w:rPr>
          <w:szCs w:val="20"/>
        </w:rPr>
      </w:pPr>
      <w:r>
        <w:rPr>
          <w:rStyle w:val="1001"/>
          <w:szCs w:val="20"/>
        </w:rPr>
        <w:footnoteRef/>
      </w:r>
      <w:r>
        <w:rPr>
          <w:szCs w:val="20"/>
        </w:rPr>
        <w:t xml:space="preserve"> </w:t>
      </w:r>
      <w:r>
        <w:rPr>
          <w:color w:val="000000"/>
          <w:szCs w:val="20"/>
        </w:rPr>
        <w:t xml:space="preserve"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 xml:space="preserve">ктронного взаимодействия»</w:t>
      </w:r>
      <w:r>
        <w:rPr>
          <w:color w:val="000000"/>
          <w:szCs w:val="20"/>
        </w:rPr>
        <w:t xml:space="preserve">.</w:t>
      </w:r>
      <w:r>
        <w:rPr>
          <w:szCs w:val="20"/>
        </w:rPr>
      </w:r>
      <w:r>
        <w:rPr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34510622"/>
      <w:docPartObj>
        <w:docPartGallery w:val="Page Numbers (Top of Page)"/>
        <w:docPartUnique w:val="true"/>
      </w:docPartObj>
      <w:rPr/>
    </w:sdtPr>
    <w:sdtContent>
      <w:p>
        <w:pPr>
          <w:pStyle w:val="99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17</w:t>
        </w:r>
        <w:r>
          <w:fldChar w:fldCharType="end"/>
        </w:r>
        <w:r/>
      </w:p>
    </w:sdtContent>
  </w:sdt>
  <w:p>
    <w:pPr>
      <w:pStyle w:val="99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2"/>
      <w:jc w:val="center"/>
    </w:pPr>
    <w:r/>
    <w:r/>
  </w:p>
  <w:p>
    <w:pPr>
      <w:pStyle w:val="99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4" w:hanging="425"/>
        <w:tabs>
          <w:tab w:val="num" w:pos="1134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decimal"/>
      <w:isLgl w:val="false"/>
      <w:suff w:val="tab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multiLevelType w:val="hybridMultilevel"/>
    <w:lvl w:ilvl="0">
      <w:start w:val="32"/>
      <w:numFmt w:val="bullet"/>
      <w:isLgl w:val="false"/>
      <w:suff w:val="tab"/>
      <w:lvlText w:val="-"/>
      <w:lvlJc w:val="left"/>
      <w:pPr>
        <w:ind w:left="1446" w:hanging="369"/>
      </w:pPr>
      <w:rPr>
        <w:rFonts w:hint="default" w:ascii="Times New Roman" w:hAnsi="Times New Roman" w:eastAsia="Times New Roman" w:cs="Times New Roman"/>
        <w:sz w:val="2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Вариант %1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2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57" w:leader="none"/>
        </w:tabs>
      </w:pPr>
      <w:rPr>
        <w:rFonts w:hint="default" w:ascii="Times New Roman" w:hAnsi="Times New Roman" w:cs="Times New Roman"/>
        <w:b w:val="0"/>
        <w:color w:val="auto"/>
        <w:sz w:val="20"/>
        <w:szCs w:val="20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0" w:firstLine="0"/>
      </w:pPr>
      <w:rPr>
        <w:rFonts w:hint="default" w:ascii="Times New Roman" w:hAnsi="Times New Roman" w:cs="Times New Roman"/>
        <w:b w:val="0"/>
        <w:sz w:val="20"/>
        <w:szCs w:val="2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0" w:firstLine="0"/>
        <w:tabs>
          <w:tab w:val="num" w:pos="1701" w:leader="none"/>
        </w:tabs>
      </w:pPr>
      <w:rPr>
        <w:rFonts w:hint="default"/>
        <w:color w:val="auto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15">
    <w:name w:val="Heading 1 Char"/>
    <w:basedOn w:val="978"/>
    <w:link w:val="1007"/>
    <w:uiPriority w:val="9"/>
    <w:rPr>
      <w:rFonts w:ascii="Arial" w:hAnsi="Arial" w:eastAsia="Arial" w:cs="Arial"/>
      <w:sz w:val="40"/>
      <w:szCs w:val="40"/>
    </w:rPr>
  </w:style>
  <w:style w:type="character" w:styleId="816">
    <w:name w:val="Heading 2 Char"/>
    <w:basedOn w:val="978"/>
    <w:link w:val="1008"/>
    <w:uiPriority w:val="9"/>
    <w:rPr>
      <w:rFonts w:ascii="Arial" w:hAnsi="Arial" w:eastAsia="Arial" w:cs="Arial"/>
      <w:sz w:val="34"/>
    </w:rPr>
  </w:style>
  <w:style w:type="character" w:styleId="817">
    <w:name w:val="Heading 3 Char"/>
    <w:basedOn w:val="978"/>
    <w:link w:val="1009"/>
    <w:uiPriority w:val="9"/>
    <w:rPr>
      <w:rFonts w:ascii="Arial" w:hAnsi="Arial" w:eastAsia="Arial" w:cs="Arial"/>
      <w:sz w:val="30"/>
      <w:szCs w:val="30"/>
    </w:rPr>
  </w:style>
  <w:style w:type="character" w:styleId="818">
    <w:name w:val="Heading 4 Char"/>
    <w:basedOn w:val="978"/>
    <w:link w:val="1010"/>
    <w:uiPriority w:val="9"/>
    <w:rPr>
      <w:rFonts w:ascii="Arial" w:hAnsi="Arial" w:eastAsia="Arial" w:cs="Arial"/>
      <w:b/>
      <w:bCs/>
      <w:sz w:val="26"/>
      <w:szCs w:val="26"/>
    </w:rPr>
  </w:style>
  <w:style w:type="character" w:styleId="819">
    <w:name w:val="Heading 5 Char"/>
    <w:basedOn w:val="978"/>
    <w:link w:val="1011"/>
    <w:uiPriority w:val="9"/>
    <w:rPr>
      <w:rFonts w:ascii="Arial" w:hAnsi="Arial" w:eastAsia="Arial" w:cs="Arial"/>
      <w:b/>
      <w:bCs/>
      <w:sz w:val="24"/>
      <w:szCs w:val="24"/>
    </w:rPr>
  </w:style>
  <w:style w:type="character" w:styleId="820">
    <w:name w:val="Heading 6 Char"/>
    <w:basedOn w:val="978"/>
    <w:link w:val="1012"/>
    <w:uiPriority w:val="9"/>
    <w:rPr>
      <w:rFonts w:ascii="Arial" w:hAnsi="Arial" w:eastAsia="Arial" w:cs="Arial"/>
      <w:b/>
      <w:bCs/>
      <w:sz w:val="22"/>
      <w:szCs w:val="22"/>
    </w:rPr>
  </w:style>
  <w:style w:type="paragraph" w:styleId="821">
    <w:name w:val="Heading 7"/>
    <w:basedOn w:val="977"/>
    <w:next w:val="977"/>
    <w:link w:val="82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22">
    <w:name w:val="Heading 7 Char"/>
    <w:basedOn w:val="978"/>
    <w:link w:val="82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23">
    <w:name w:val="Heading 8"/>
    <w:basedOn w:val="977"/>
    <w:next w:val="977"/>
    <w:link w:val="82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24">
    <w:name w:val="Heading 8 Char"/>
    <w:basedOn w:val="978"/>
    <w:link w:val="823"/>
    <w:uiPriority w:val="9"/>
    <w:rPr>
      <w:rFonts w:ascii="Arial" w:hAnsi="Arial" w:eastAsia="Arial" w:cs="Arial"/>
      <w:i/>
      <w:iCs/>
      <w:sz w:val="22"/>
      <w:szCs w:val="22"/>
    </w:rPr>
  </w:style>
  <w:style w:type="paragraph" w:styleId="825">
    <w:name w:val="Heading 9"/>
    <w:basedOn w:val="977"/>
    <w:next w:val="977"/>
    <w:link w:val="82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26">
    <w:name w:val="Heading 9 Char"/>
    <w:basedOn w:val="978"/>
    <w:link w:val="825"/>
    <w:uiPriority w:val="9"/>
    <w:rPr>
      <w:rFonts w:ascii="Arial" w:hAnsi="Arial" w:eastAsia="Arial" w:cs="Arial"/>
      <w:i/>
      <w:iCs/>
      <w:sz w:val="21"/>
      <w:szCs w:val="21"/>
    </w:rPr>
  </w:style>
  <w:style w:type="paragraph" w:styleId="827">
    <w:name w:val="Title"/>
    <w:basedOn w:val="977"/>
    <w:next w:val="977"/>
    <w:link w:val="82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8">
    <w:name w:val="Title Char"/>
    <w:basedOn w:val="978"/>
    <w:link w:val="827"/>
    <w:uiPriority w:val="10"/>
    <w:rPr>
      <w:sz w:val="48"/>
      <w:szCs w:val="48"/>
    </w:rPr>
  </w:style>
  <w:style w:type="paragraph" w:styleId="829">
    <w:name w:val="Subtitle"/>
    <w:basedOn w:val="977"/>
    <w:next w:val="977"/>
    <w:link w:val="830"/>
    <w:uiPriority w:val="11"/>
    <w:qFormat/>
    <w:pPr>
      <w:spacing w:before="200" w:after="200"/>
    </w:pPr>
    <w:rPr>
      <w:sz w:val="24"/>
      <w:szCs w:val="24"/>
    </w:rPr>
  </w:style>
  <w:style w:type="character" w:styleId="830">
    <w:name w:val="Subtitle Char"/>
    <w:basedOn w:val="978"/>
    <w:link w:val="829"/>
    <w:uiPriority w:val="11"/>
    <w:rPr>
      <w:sz w:val="24"/>
      <w:szCs w:val="24"/>
    </w:rPr>
  </w:style>
  <w:style w:type="paragraph" w:styleId="831">
    <w:name w:val="Quote"/>
    <w:basedOn w:val="977"/>
    <w:next w:val="977"/>
    <w:link w:val="832"/>
    <w:uiPriority w:val="29"/>
    <w:qFormat/>
    <w:pPr>
      <w:ind w:left="720" w:right="720"/>
    </w:pPr>
    <w:rPr>
      <w:i/>
    </w:rPr>
  </w:style>
  <w:style w:type="character" w:styleId="832">
    <w:name w:val="Quote Char"/>
    <w:link w:val="831"/>
    <w:uiPriority w:val="29"/>
    <w:rPr>
      <w:i/>
    </w:rPr>
  </w:style>
  <w:style w:type="paragraph" w:styleId="833">
    <w:name w:val="Intense Quote"/>
    <w:basedOn w:val="977"/>
    <w:next w:val="977"/>
    <w:link w:val="83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34">
    <w:name w:val="Intense Quote Char"/>
    <w:link w:val="833"/>
    <w:uiPriority w:val="30"/>
    <w:rPr>
      <w:i/>
    </w:rPr>
  </w:style>
  <w:style w:type="character" w:styleId="835">
    <w:name w:val="Header Char"/>
    <w:basedOn w:val="978"/>
    <w:link w:val="992"/>
    <w:uiPriority w:val="99"/>
  </w:style>
  <w:style w:type="character" w:styleId="836">
    <w:name w:val="Footer Char"/>
    <w:basedOn w:val="978"/>
    <w:link w:val="994"/>
    <w:uiPriority w:val="99"/>
  </w:style>
  <w:style w:type="paragraph" w:styleId="837">
    <w:name w:val="Caption"/>
    <w:basedOn w:val="977"/>
    <w:next w:val="977"/>
    <w:link w:val="83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38">
    <w:name w:val="Caption Char"/>
    <w:basedOn w:val="837"/>
    <w:link w:val="994"/>
    <w:uiPriority w:val="99"/>
  </w:style>
  <w:style w:type="table" w:styleId="839">
    <w:name w:val="Table Grid Light"/>
    <w:basedOn w:val="9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0">
    <w:name w:val="Plain Table 1"/>
    <w:basedOn w:val="9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1">
    <w:name w:val="Plain Table 2"/>
    <w:basedOn w:val="97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2">
    <w:name w:val="Plain Table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43">
    <w:name w:val="Plain Table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Plain Table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5">
    <w:name w:val="Grid Table 1 Light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Grid Table 1 Light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Grid Table 1 Light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Grid Table 1 Light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Grid Table 1 Light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Grid Table 1 Light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Grid Table 1 Light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Grid Table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2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2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2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2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Grid Table 2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>
    <w:name w:val="Grid Table 2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Grid Table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>
    <w:name w:val="Grid Table 3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>
    <w:name w:val="Grid Table 3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3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Grid Table 3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>
    <w:name w:val="Grid Table 3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3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4"/>
    <w:basedOn w:val="9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7">
    <w:name w:val="Grid Table 4 - Accent 1"/>
    <w:basedOn w:val="9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68">
    <w:name w:val="Grid Table 4 - Accent 2"/>
    <w:basedOn w:val="9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69">
    <w:name w:val="Grid Table 4 - Accent 3"/>
    <w:basedOn w:val="9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70">
    <w:name w:val="Grid Table 4 - Accent 4"/>
    <w:basedOn w:val="9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71">
    <w:name w:val="Grid Table 4 - Accent 5"/>
    <w:basedOn w:val="9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72">
    <w:name w:val="Grid Table 4 - Accent 6"/>
    <w:basedOn w:val="9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73">
    <w:name w:val="Grid Table 5 Dark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74">
    <w:name w:val="Grid Table 5 Dark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75">
    <w:name w:val="Grid Table 5 Dark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6">
    <w:name w:val="Grid Table 5 Dark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7">
    <w:name w:val="Grid Table 5 Dark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8">
    <w:name w:val="Grid Table 5 Dark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79">
    <w:name w:val="Grid Table 5 Dark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0">
    <w:name w:val="Grid Table 6 Colorful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81">
    <w:name w:val="Grid Table 6 Colorful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82">
    <w:name w:val="Grid Table 6 Colorful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83">
    <w:name w:val="Grid Table 6 Colorful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84">
    <w:name w:val="Grid Table 6 Colorful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85">
    <w:name w:val="Grid Table 6 Colorful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6">
    <w:name w:val="Grid Table 6 Colorful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7">
    <w:name w:val="Grid Table 7 Colorful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7 Colorful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7 Colorful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7 Colorful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Grid Table 7 Colorful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Grid Table 7 Colorful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Grid Table 7 Colorful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List Table 1 Light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List Table 1 Light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List Table 1 Light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List Table 1 Light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List Table 1 Light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>
    <w:name w:val="List Table 1 Light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List Table 1 Light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List Table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02">
    <w:name w:val="List Table 2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03">
    <w:name w:val="List Table 2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04">
    <w:name w:val="List Table 2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05">
    <w:name w:val="List Table 2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06">
    <w:name w:val="List Table 2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07">
    <w:name w:val="List Table 2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08">
    <w:name w:val="List Table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3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3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3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3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List Table 3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List Table 3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List Table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List Table 4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List Table 4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List Table 4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List Table 4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List Table 4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4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5 Dark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3">
    <w:name w:val="List Table 5 Dark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4">
    <w:name w:val="List Table 5 Dark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5">
    <w:name w:val="List Table 5 Dark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6">
    <w:name w:val="List Table 5 Dark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7">
    <w:name w:val="List Table 5 Dark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8">
    <w:name w:val="List Table 5 Dark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9">
    <w:name w:val="List Table 6 Colorful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30">
    <w:name w:val="List Table 6 Colorful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31">
    <w:name w:val="List Table 6 Colorful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32">
    <w:name w:val="List Table 6 Colorful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33">
    <w:name w:val="List Table 6 Colorful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34">
    <w:name w:val="List Table 6 Colorful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35">
    <w:name w:val="List Table 6 Colorful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36">
    <w:name w:val="List Table 7 Colorful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37">
    <w:name w:val="List Table 7 Colorful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38">
    <w:name w:val="List Table 7 Colorful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39">
    <w:name w:val="List Table 7 Colorful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40">
    <w:name w:val="List Table 7 Colorful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41">
    <w:name w:val="List Table 7 Colorful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42">
    <w:name w:val="List Table 7 Colorful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43">
    <w:name w:val="Lined - Accent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4">
    <w:name w:val="Lined - Accent 1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45">
    <w:name w:val="Lined - Accent 2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6">
    <w:name w:val="Lined - Accent 3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7">
    <w:name w:val="Lined - Accent 4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8">
    <w:name w:val="Lined - Accent 5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49">
    <w:name w:val="Lined - Accent 6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50">
    <w:name w:val="Bordered &amp; Lined - Accent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1">
    <w:name w:val="Bordered &amp; Lined - Accent 1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52">
    <w:name w:val="Bordered &amp; Lined - Accent 2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53">
    <w:name w:val="Bordered &amp; Lined - Accent 3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54">
    <w:name w:val="Bordered &amp; Lined - Accent 4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55">
    <w:name w:val="Bordered &amp; Lined - Accent 5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56">
    <w:name w:val="Bordered &amp; Lined - Accent 6"/>
    <w:basedOn w:val="9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57">
    <w:name w:val="Bordered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58">
    <w:name w:val="Bordered - Accent 1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59">
    <w:name w:val="Bordered - Accent 2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60">
    <w:name w:val="Bordered - Accent 3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61">
    <w:name w:val="Bordered - Accent 4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62">
    <w:name w:val="Bordered - Accent 5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63">
    <w:name w:val="Bordered - Accent 6"/>
    <w:basedOn w:val="9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64">
    <w:name w:val="Footnote Text Char"/>
    <w:link w:val="999"/>
    <w:uiPriority w:val="99"/>
    <w:rPr>
      <w:sz w:val="18"/>
    </w:rPr>
  </w:style>
  <w:style w:type="character" w:styleId="965">
    <w:name w:val="Endnote Text Char"/>
    <w:link w:val="996"/>
    <w:uiPriority w:val="99"/>
    <w:rPr>
      <w:sz w:val="20"/>
    </w:rPr>
  </w:style>
  <w:style w:type="paragraph" w:styleId="966">
    <w:name w:val="toc 1"/>
    <w:basedOn w:val="977"/>
    <w:next w:val="977"/>
    <w:uiPriority w:val="39"/>
    <w:unhideWhenUsed/>
    <w:pPr>
      <w:ind w:left="0" w:right="0" w:firstLine="0"/>
      <w:spacing w:after="57"/>
    </w:pPr>
  </w:style>
  <w:style w:type="paragraph" w:styleId="967">
    <w:name w:val="toc 2"/>
    <w:basedOn w:val="977"/>
    <w:next w:val="977"/>
    <w:uiPriority w:val="39"/>
    <w:unhideWhenUsed/>
    <w:pPr>
      <w:ind w:left="283" w:right="0" w:firstLine="0"/>
      <w:spacing w:after="57"/>
    </w:pPr>
  </w:style>
  <w:style w:type="paragraph" w:styleId="968">
    <w:name w:val="toc 3"/>
    <w:basedOn w:val="977"/>
    <w:next w:val="977"/>
    <w:uiPriority w:val="39"/>
    <w:unhideWhenUsed/>
    <w:pPr>
      <w:ind w:left="567" w:right="0" w:firstLine="0"/>
      <w:spacing w:after="57"/>
    </w:pPr>
  </w:style>
  <w:style w:type="paragraph" w:styleId="969">
    <w:name w:val="toc 4"/>
    <w:basedOn w:val="977"/>
    <w:next w:val="977"/>
    <w:uiPriority w:val="39"/>
    <w:unhideWhenUsed/>
    <w:pPr>
      <w:ind w:left="850" w:right="0" w:firstLine="0"/>
      <w:spacing w:after="57"/>
    </w:pPr>
  </w:style>
  <w:style w:type="paragraph" w:styleId="970">
    <w:name w:val="toc 5"/>
    <w:basedOn w:val="977"/>
    <w:next w:val="977"/>
    <w:uiPriority w:val="39"/>
    <w:unhideWhenUsed/>
    <w:pPr>
      <w:ind w:left="1134" w:right="0" w:firstLine="0"/>
      <w:spacing w:after="57"/>
    </w:pPr>
  </w:style>
  <w:style w:type="paragraph" w:styleId="971">
    <w:name w:val="toc 6"/>
    <w:basedOn w:val="977"/>
    <w:next w:val="977"/>
    <w:uiPriority w:val="39"/>
    <w:unhideWhenUsed/>
    <w:pPr>
      <w:ind w:left="1417" w:right="0" w:firstLine="0"/>
      <w:spacing w:after="57"/>
    </w:pPr>
  </w:style>
  <w:style w:type="paragraph" w:styleId="972">
    <w:name w:val="toc 7"/>
    <w:basedOn w:val="977"/>
    <w:next w:val="977"/>
    <w:uiPriority w:val="39"/>
    <w:unhideWhenUsed/>
    <w:pPr>
      <w:ind w:left="1701" w:right="0" w:firstLine="0"/>
      <w:spacing w:after="57"/>
    </w:pPr>
  </w:style>
  <w:style w:type="paragraph" w:styleId="973">
    <w:name w:val="toc 8"/>
    <w:basedOn w:val="977"/>
    <w:next w:val="977"/>
    <w:uiPriority w:val="39"/>
    <w:unhideWhenUsed/>
    <w:pPr>
      <w:ind w:left="1984" w:right="0" w:firstLine="0"/>
      <w:spacing w:after="57"/>
    </w:pPr>
  </w:style>
  <w:style w:type="paragraph" w:styleId="974">
    <w:name w:val="toc 9"/>
    <w:basedOn w:val="977"/>
    <w:next w:val="977"/>
    <w:uiPriority w:val="39"/>
    <w:unhideWhenUsed/>
    <w:pPr>
      <w:ind w:left="2268" w:right="0" w:firstLine="0"/>
      <w:spacing w:after="57"/>
    </w:pPr>
  </w:style>
  <w:style w:type="paragraph" w:styleId="975">
    <w:name w:val="TOC Heading"/>
    <w:uiPriority w:val="39"/>
    <w:unhideWhenUsed/>
  </w:style>
  <w:style w:type="paragraph" w:styleId="976">
    <w:name w:val="table of figures"/>
    <w:basedOn w:val="977"/>
    <w:next w:val="977"/>
    <w:uiPriority w:val="99"/>
    <w:unhideWhenUsed/>
    <w:pPr>
      <w:spacing w:after="0" w:afterAutospacing="0"/>
    </w:pPr>
  </w:style>
  <w:style w:type="paragraph" w:styleId="977" w:default="1">
    <w:name w:val="Normal"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character" w:styleId="978" w:default="1">
    <w:name w:val="Default Paragraph Font"/>
    <w:uiPriority w:val="1"/>
    <w:semiHidden/>
    <w:unhideWhenUsed/>
  </w:style>
  <w:style w:type="table" w:styleId="97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80" w:default="1">
    <w:name w:val="No List"/>
    <w:uiPriority w:val="99"/>
    <w:semiHidden/>
    <w:unhideWhenUsed/>
  </w:style>
  <w:style w:type="character" w:styleId="981">
    <w:name w:val="annotation reference"/>
    <w:uiPriority w:val="99"/>
    <w:rPr>
      <w:sz w:val="16"/>
      <w:szCs w:val="16"/>
    </w:rPr>
  </w:style>
  <w:style w:type="paragraph" w:styleId="982">
    <w:name w:val="annotation text"/>
    <w:basedOn w:val="977"/>
    <w:link w:val="983"/>
    <w:uiPriority w:val="99"/>
    <w:unhideWhenUsed/>
    <w:rPr>
      <w:szCs w:val="20"/>
    </w:rPr>
  </w:style>
  <w:style w:type="character" w:styleId="983" w:customStyle="1">
    <w:name w:val="Текст примечания Знак"/>
    <w:basedOn w:val="978"/>
    <w:link w:val="982"/>
    <w:uiPriority w:val="99"/>
    <w:rPr>
      <w:rFonts w:ascii="Times New Roman" w:hAnsi="Times New Roman" w:eastAsia="Times New Roman" w:cs="Times New Roman"/>
      <w:sz w:val="20"/>
      <w:szCs w:val="20"/>
    </w:rPr>
  </w:style>
  <w:style w:type="paragraph" w:styleId="984">
    <w:name w:val="Balloon Text"/>
    <w:basedOn w:val="977"/>
    <w:link w:val="98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85" w:customStyle="1">
    <w:name w:val="Текст выноски Знак"/>
    <w:basedOn w:val="978"/>
    <w:link w:val="984"/>
    <w:uiPriority w:val="99"/>
    <w:semiHidden/>
    <w:rPr>
      <w:rFonts w:ascii="Segoe UI" w:hAnsi="Segoe UI" w:eastAsia="Times New Roman" w:cs="Segoe UI"/>
      <w:sz w:val="18"/>
      <w:szCs w:val="18"/>
    </w:rPr>
  </w:style>
  <w:style w:type="paragraph" w:styleId="986">
    <w:name w:val="annotation subject"/>
    <w:basedOn w:val="982"/>
    <w:next w:val="982"/>
    <w:link w:val="987"/>
    <w:uiPriority w:val="99"/>
    <w:semiHidden/>
    <w:unhideWhenUsed/>
    <w:rPr>
      <w:b/>
      <w:bCs/>
    </w:rPr>
  </w:style>
  <w:style w:type="character" w:styleId="987" w:customStyle="1">
    <w:name w:val="Тема примечания Знак"/>
    <w:basedOn w:val="983"/>
    <w:link w:val="986"/>
    <w:uiPriority w:val="99"/>
    <w:semiHidden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988" w:customStyle="1">
    <w:name w:val="! ТЗ Стиль __ТекстОсн_1и + Times New Roman 12 пт По ширине Первая стр..."/>
    <w:basedOn w:val="977"/>
    <w:qFormat/>
    <w:pPr>
      <w:ind w:firstLine="709"/>
      <w:jc w:val="both"/>
      <w:spacing w:before="60" w:after="60" w:line="360" w:lineRule="auto"/>
      <w:tabs>
        <w:tab w:val="left" w:pos="851" w:leader="none"/>
      </w:tabs>
    </w:pPr>
    <w:rPr>
      <w:sz w:val="24"/>
      <w:szCs w:val="20"/>
      <w:lang w:eastAsia="ru-RU"/>
    </w:rPr>
  </w:style>
  <w:style w:type="table" w:styleId="989" w:customStyle="1">
    <w:name w:val="Сетка таблицы3"/>
    <w:basedOn w:val="979"/>
    <w:next w:val="990"/>
    <w:uiPriority w:val="39"/>
    <w:pPr>
      <w:spacing w:after="0" w:line="240" w:lineRule="auto"/>
    </w:pPr>
    <w:rPr>
      <w:rFonts w:ascii="Calibri" w:hAnsi="Calibri" w:eastAsia="Calibri" w:cs="Arial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90">
    <w:name w:val="Table Grid"/>
    <w:basedOn w:val="97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91">
    <w:name w:val="List Paragraph"/>
    <w:basedOn w:val="977"/>
    <w:uiPriority w:val="34"/>
    <w:qFormat/>
    <w:pPr>
      <w:contextualSpacing/>
      <w:ind w:left="720"/>
    </w:pPr>
  </w:style>
  <w:style w:type="paragraph" w:styleId="992">
    <w:name w:val="Header"/>
    <w:basedOn w:val="977"/>
    <w:link w:val="99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93" w:customStyle="1">
    <w:name w:val="Верхний колонтитул Знак"/>
    <w:basedOn w:val="978"/>
    <w:link w:val="992"/>
    <w:uiPriority w:val="99"/>
    <w:rPr>
      <w:rFonts w:ascii="Times New Roman" w:hAnsi="Times New Roman" w:eastAsia="Times New Roman" w:cs="Times New Roman"/>
      <w:sz w:val="20"/>
    </w:rPr>
  </w:style>
  <w:style w:type="paragraph" w:styleId="994">
    <w:name w:val="Footer"/>
    <w:basedOn w:val="977"/>
    <w:link w:val="99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95" w:customStyle="1">
    <w:name w:val="Нижний колонтитул Знак"/>
    <w:basedOn w:val="978"/>
    <w:link w:val="994"/>
    <w:uiPriority w:val="99"/>
    <w:rPr>
      <w:rFonts w:ascii="Times New Roman" w:hAnsi="Times New Roman" w:eastAsia="Times New Roman" w:cs="Times New Roman"/>
      <w:sz w:val="20"/>
    </w:rPr>
  </w:style>
  <w:style w:type="paragraph" w:styleId="996">
    <w:name w:val="endnote text"/>
    <w:basedOn w:val="977"/>
    <w:link w:val="997"/>
    <w:uiPriority w:val="99"/>
    <w:semiHidden/>
    <w:unhideWhenUsed/>
    <w:rPr>
      <w:szCs w:val="20"/>
    </w:rPr>
  </w:style>
  <w:style w:type="character" w:styleId="997" w:customStyle="1">
    <w:name w:val="Текст концевой сноски Знак"/>
    <w:basedOn w:val="978"/>
    <w:link w:val="996"/>
    <w:uiPriority w:val="99"/>
    <w:semiHidden/>
    <w:rPr>
      <w:rFonts w:ascii="Times New Roman" w:hAnsi="Times New Roman" w:eastAsia="Times New Roman" w:cs="Times New Roman"/>
      <w:sz w:val="20"/>
      <w:szCs w:val="20"/>
    </w:rPr>
  </w:style>
  <w:style w:type="character" w:styleId="998">
    <w:name w:val="endnote reference"/>
    <w:basedOn w:val="978"/>
    <w:uiPriority w:val="99"/>
    <w:semiHidden/>
    <w:unhideWhenUsed/>
    <w:rPr>
      <w:vertAlign w:val="superscript"/>
    </w:rPr>
  </w:style>
  <w:style w:type="paragraph" w:styleId="999">
    <w:name w:val="footnote text"/>
    <w:basedOn w:val="977"/>
    <w:link w:val="1000"/>
    <w:uiPriority w:val="99"/>
    <w:unhideWhenUsed/>
    <w:rPr>
      <w:szCs w:val="20"/>
    </w:rPr>
  </w:style>
  <w:style w:type="character" w:styleId="1000" w:customStyle="1">
    <w:name w:val="Текст сноски Знак"/>
    <w:basedOn w:val="978"/>
    <w:link w:val="999"/>
    <w:uiPriority w:val="99"/>
    <w:rPr>
      <w:rFonts w:ascii="Times New Roman" w:hAnsi="Times New Roman" w:eastAsia="Times New Roman" w:cs="Times New Roman"/>
      <w:sz w:val="20"/>
      <w:szCs w:val="20"/>
    </w:rPr>
  </w:style>
  <w:style w:type="character" w:styleId="1001">
    <w:name w:val="footnote reference"/>
    <w:basedOn w:val="978"/>
    <w:uiPriority w:val="99"/>
    <w:semiHidden/>
    <w:unhideWhenUsed/>
    <w:rPr>
      <w:vertAlign w:val="superscript"/>
    </w:rPr>
  </w:style>
  <w:style w:type="paragraph" w:styleId="1002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paragraph" w:styleId="1003">
    <w:name w:val="Body Text"/>
    <w:basedOn w:val="977"/>
    <w:link w:val="1004"/>
    <w:uiPriority w:val="1"/>
    <w:qFormat/>
    <w:pPr>
      <w:widowControl w:val="off"/>
    </w:pPr>
    <w:rPr>
      <w:sz w:val="24"/>
      <w:szCs w:val="24"/>
    </w:rPr>
  </w:style>
  <w:style w:type="character" w:styleId="1004" w:customStyle="1">
    <w:name w:val="Основной текст Знак"/>
    <w:basedOn w:val="978"/>
    <w:link w:val="1003"/>
    <w:uiPriority w:val="1"/>
    <w:rPr>
      <w:rFonts w:ascii="Times New Roman" w:hAnsi="Times New Roman" w:eastAsia="Times New Roman" w:cs="Times New Roman"/>
      <w:sz w:val="24"/>
      <w:szCs w:val="24"/>
    </w:rPr>
  </w:style>
  <w:style w:type="character" w:styleId="1005">
    <w:name w:val="HTML Code"/>
    <w:basedOn w:val="978"/>
    <w:uiPriority w:val="99"/>
    <w:semiHidden/>
    <w:unhideWhenUsed/>
    <w:rPr>
      <w:rFonts w:ascii="Courier New" w:hAnsi="Courier New" w:eastAsia="Times New Roman" w:cs="Courier New"/>
      <w:sz w:val="20"/>
      <w:szCs w:val="20"/>
    </w:rPr>
  </w:style>
  <w:style w:type="character" w:styleId="1006">
    <w:name w:val="Hyperlink"/>
    <w:uiPriority w:val="99"/>
    <w:unhideWhenUsed/>
    <w:rPr>
      <w:color w:val="0000ff" w:themeColor="hyperlink"/>
      <w:u w:val="single"/>
    </w:rPr>
  </w:style>
  <w:style w:type="paragraph" w:styleId="1007">
    <w:name w:val="Heading 1"/>
    <w:uiPriority w:val="9"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1008">
    <w:name w:val="Heading 2"/>
    <w:uiPriority w:val="9"/>
    <w:unhideWhenUsed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1009">
    <w:name w:val="Heading 3"/>
    <w:uiPriority w:val="9"/>
    <w:unhideWhenUsed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1010">
    <w:name w:val="Heading 4"/>
    <w:uiPriority w:val="9"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1011">
    <w:name w:val="Heading 5"/>
    <w:uiPriority w:val="9"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1012">
    <w:name w:val="Heading 6"/>
    <w:uiPriority w:val="9"/>
    <w:unhideWhenUsed/>
    <w:qFormat/>
    <w:pPr>
      <w:keepLines/>
      <w:keepNext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6DE09-3641-42DA-AE37-EDF95761E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Р7-Офис/2024.4.2.691</Application>
  <Company>rtlabs.ru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ruv</cp:lastModifiedBy>
  <cp:revision>8</cp:revision>
  <dcterms:created xsi:type="dcterms:W3CDTF">2024-12-13T06:08:00Z</dcterms:created>
  <dcterms:modified xsi:type="dcterms:W3CDTF">2024-12-28T04:59:38Z</dcterms:modified>
</cp:coreProperties>
</file>