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761"/>
      </w:tblGrid>
      <w:tr>
        <w:tblPrEx/>
        <w:trPr>
          <w:trHeight w:val="152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761" w:type="dxa"/>
            <w:vAlign w:val="top"/>
            <w:textDirection w:val="lrTb"/>
            <w:noWrap w:val="false"/>
          </w:tcPr>
          <w:p>
            <w:pPr>
              <w:pStyle w:val="88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  <w:highlight w:val="none"/>
              </w:rPr>
              <w:t xml:space="preserve">РИЛОЖЕНИЕ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приказу департамента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имущества и земельных отношений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от_________№_______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88"/>
        <w:ind w:left="0" w:right="0" w:firstLine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8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ПОРЯДОК</w:t>
      </w:r>
      <w:r>
        <w:rPr>
          <w:b/>
          <w:sz w:val="28"/>
          <w:szCs w:val="28"/>
          <w:highlight w:val="yellow"/>
        </w:rPr>
      </w:r>
      <w:r>
        <w:rPr>
          <w:b/>
          <w:sz w:val="28"/>
          <w:szCs w:val="28"/>
          <w:highlight w:val="yellow"/>
        </w:rPr>
      </w:r>
    </w:p>
    <w:p>
      <w:pPr>
        <w:jc w:val="center"/>
        <w:tabs>
          <w:tab w:val="left" w:pos="1824" w:leader="none"/>
        </w:tabs>
        <w:rPr>
          <w:szCs w:val="1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платы для граждан и юридических лиц за работы, услуги, относящиеся к основным видам деятельности государственного бюджетного учреждени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Новосибирской области «Новосибирский центр кадастровой оценки и инвентаризации», подведомс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твенного департаменту имущества и земельных отношений Новосибирской области, выполняемые, оказываемые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</w:t>
      </w:r>
      <w:r>
        <w:rPr>
          <w:szCs w:val="16"/>
        </w:rPr>
      </w:r>
      <w:r>
        <w:rPr>
          <w:szCs w:val="16"/>
        </w:rPr>
      </w:r>
    </w:p>
    <w:p>
      <w:pPr>
        <w:pStyle w:val="8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tabs>
          <w:tab w:val="left" w:pos="1824" w:leader="none"/>
        </w:tabs>
        <w:rPr>
          <w:sz w:val="28"/>
          <w:szCs w:val="28"/>
          <w:highlight w:val="none"/>
        </w:rPr>
        <w:suppressLineNumbers w:val="0"/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  <w:t xml:space="preserve">1. Порядок</w:t>
      </w:r>
      <w:r>
        <w:rPr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определения платы для граждан и юридических лиц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услуги, относя</w:t>
      </w:r>
      <w:r>
        <w:rPr>
          <w:rFonts w:ascii="Times New Roman" w:hAnsi="Times New Roman" w:cs="Times New Roman"/>
          <w:sz w:val="28"/>
          <w:szCs w:val="28"/>
        </w:rPr>
        <w:t xml:space="preserve">щиеся к основным видам деятельности государственного бюджетного учреждени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b w:val="0"/>
          <w:bCs w:val="0"/>
          <w:sz w:val="28"/>
          <w:szCs w:val="28"/>
        </w:rPr>
        <w:t xml:space="preserve">Новосибирской области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Новосибирский центр кадастровой оценки и инвентаризации»</w:t>
      </w:r>
      <w:r>
        <w:rPr>
          <w:rFonts w:ascii="Times New Roman" w:hAnsi="Times New Roman" w:cs="Times New Roman"/>
          <w:sz w:val="28"/>
          <w:szCs w:val="28"/>
        </w:rPr>
        <w:t xml:space="preserve">, подведомственного департаменту имущества и земельных отношений Новосибирской области </w:t>
      </w:r>
      <w:r>
        <w:rPr>
          <w:b w:val="0"/>
          <w:bCs w:val="0"/>
          <w:sz w:val="28"/>
          <w:szCs w:val="28"/>
        </w:rPr>
        <w:t xml:space="preserve">(далее соответственно - учреждение, департамент)</w:t>
      </w:r>
      <w:r>
        <w:rPr>
          <w:rFonts w:ascii="Times New Roman" w:hAnsi="Times New Roman" w:cs="Times New Roman"/>
          <w:sz w:val="28"/>
          <w:szCs w:val="28"/>
        </w:rPr>
        <w:t xml:space="preserve">, выполняемые, оказываемые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</w:t>
      </w:r>
      <w:r>
        <w:rPr>
          <w:b w:val="0"/>
          <w:bCs w:val="0"/>
          <w:sz w:val="28"/>
          <w:szCs w:val="28"/>
        </w:rPr>
        <w:t xml:space="preserve"> (далее - Порядок)</w:t>
      </w:r>
      <w:r>
        <w:rPr>
          <w:b w:val="0"/>
          <w:bCs w:val="0"/>
          <w:sz w:val="28"/>
          <w:szCs w:val="28"/>
        </w:rPr>
        <w:t xml:space="preserve">, устанавливает правила определения </w:t>
      </w:r>
      <w:r>
        <w:rPr>
          <w:b w:val="0"/>
          <w:bCs w:val="0"/>
          <w:sz w:val="28"/>
          <w:szCs w:val="28"/>
        </w:rPr>
        <w:t xml:space="preserve">платы для граждан и юридических лиц за работы (услуги), относящиеся к основным видам деятельности учреждения</w:t>
      </w:r>
      <w:r>
        <w:rPr>
          <w:b w:val="0"/>
          <w:bCs w:val="0"/>
          <w:sz w:val="28"/>
          <w:szCs w:val="28"/>
        </w:rPr>
        <w:t xml:space="preserve">, предусмотренным его уставом, выполняемые (оказываемые)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 </w:t>
      </w:r>
      <w:r>
        <w:rPr>
          <w:b w:val="0"/>
          <w:bCs w:val="0"/>
          <w:sz w:val="28"/>
          <w:szCs w:val="28"/>
        </w:rPr>
        <w:t xml:space="preserve">(далее соответственно - </w:t>
      </w:r>
      <w:r>
        <w:rPr>
          <w:b w:val="0"/>
          <w:bCs w:val="0"/>
          <w:sz w:val="28"/>
          <w:szCs w:val="28"/>
        </w:rPr>
        <w:t xml:space="preserve">плата, платные </w:t>
      </w:r>
      <w:r>
        <w:rPr>
          <w:b w:val="0"/>
          <w:bCs w:val="0"/>
          <w:sz w:val="28"/>
          <w:szCs w:val="28"/>
        </w:rPr>
        <w:t xml:space="preserve">работы (услуги)</w:t>
      </w:r>
      <w:r>
        <w:rPr>
          <w:b w:val="0"/>
          <w:bCs w:val="0"/>
          <w:sz w:val="28"/>
          <w:szCs w:val="28"/>
        </w:rPr>
        <w:t xml:space="preserve">)</w:t>
      </w:r>
      <w:r>
        <w:rPr>
          <w:b w:val="0"/>
          <w:bCs w:val="0"/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20"/>
        <w:jc w:val="both"/>
        <w:tabs>
          <w:tab w:val="left" w:pos="1824" w:leader="none"/>
        </w:tabs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  <w:t xml:space="preserve">2.</w:t>
      </w:r>
      <w:r>
        <w:rPr>
          <w:color w:val="000000" w:themeColor="text1"/>
          <w:sz w:val="28"/>
          <w:szCs w:val="28"/>
          <w:highlight w:val="none"/>
        </w:rPr>
        <w:t xml:space="preserve"> </w:t>
      </w:r>
      <w:r>
        <w:rPr>
          <w:color w:val="000000" w:themeColor="text1"/>
          <w:sz w:val="28"/>
          <w:szCs w:val="28"/>
          <w:highlight w:val="none"/>
        </w:rPr>
        <w:t xml:space="preserve">Р</w:t>
      </w:r>
      <w:r>
        <w:rPr>
          <w:color w:val="000000" w:themeColor="text1"/>
          <w:sz w:val="28"/>
          <w:szCs w:val="28"/>
          <w:highlight w:val="none"/>
        </w:rPr>
        <w:t xml:space="preserve">азмер</w:t>
      </w:r>
      <w:r>
        <w:rPr>
          <w:color w:val="auto"/>
          <w:sz w:val="28"/>
          <w:szCs w:val="28"/>
          <w:highlight w:val="none"/>
        </w:rPr>
        <w:t xml:space="preserve"> платы за </w:t>
      </w:r>
      <w:r>
        <w:rPr>
          <w:b w:val="0"/>
          <w:bCs w:val="0"/>
          <w:sz w:val="28"/>
          <w:szCs w:val="28"/>
        </w:rPr>
        <w:t xml:space="preserve">платные </w:t>
      </w:r>
      <w:r>
        <w:rPr>
          <w:b w:val="0"/>
          <w:bCs w:val="0"/>
          <w:sz w:val="28"/>
          <w:szCs w:val="28"/>
        </w:rPr>
        <w:t xml:space="preserve">работы (услуги)</w:t>
      </w:r>
      <w:r>
        <w:rPr>
          <w:color w:val="auto"/>
          <w:sz w:val="28"/>
          <w:szCs w:val="28"/>
          <w:highlight w:val="none"/>
        </w:rPr>
        <w:t xml:space="preserve"> не может быть ниже величины финансового обеспечения выполнения (</w:t>
      </w:r>
      <w:r>
        <w:rPr>
          <w:color w:val="auto"/>
          <w:sz w:val="28"/>
          <w:szCs w:val="28"/>
          <w:highlight w:val="none"/>
        </w:rPr>
        <w:t xml:space="preserve">оказани</w:t>
      </w:r>
      <w:r>
        <w:rPr>
          <w:color w:val="auto"/>
          <w:sz w:val="28"/>
          <w:szCs w:val="28"/>
          <w:highlight w:val="none"/>
        </w:rPr>
        <w:t xml:space="preserve">я) таких же работ (</w:t>
      </w:r>
      <w:r>
        <w:rPr>
          <w:color w:val="auto"/>
          <w:sz w:val="28"/>
          <w:szCs w:val="28"/>
          <w:highlight w:val="none"/>
        </w:rPr>
        <w:t xml:space="preserve">услуг</w:t>
      </w:r>
      <w:r>
        <w:rPr>
          <w:color w:val="auto"/>
          <w:sz w:val="28"/>
          <w:szCs w:val="28"/>
          <w:highlight w:val="none"/>
        </w:rPr>
        <w:t xml:space="preserve">) в расчете на единицу </w:t>
      </w:r>
      <w:r>
        <w:rPr>
          <w:color w:val="auto"/>
          <w:sz w:val="28"/>
          <w:szCs w:val="28"/>
          <w:highlight w:val="none"/>
        </w:rPr>
        <w:t xml:space="preserve">работы (</w:t>
      </w:r>
      <w:r>
        <w:rPr>
          <w:color w:val="auto"/>
          <w:sz w:val="28"/>
          <w:szCs w:val="28"/>
          <w:highlight w:val="none"/>
        </w:rPr>
        <w:t xml:space="preserve">услуги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auto"/>
          <w:sz w:val="28"/>
          <w:szCs w:val="28"/>
          <w:highlight w:val="none"/>
        </w:rPr>
        <w:t xml:space="preserve">, </w:t>
      </w:r>
      <w:r>
        <w:rPr>
          <w:color w:val="auto"/>
          <w:sz w:val="28"/>
          <w:szCs w:val="28"/>
          <w:highlight w:val="none"/>
        </w:rPr>
        <w:t xml:space="preserve">выполняемо</w:t>
      </w:r>
      <w:r>
        <w:rPr>
          <w:color w:val="auto"/>
          <w:sz w:val="28"/>
          <w:szCs w:val="28"/>
          <w:highlight w:val="none"/>
        </w:rPr>
        <w:t xml:space="preserve">й (</w:t>
      </w:r>
      <w:r>
        <w:rPr>
          <w:color w:val="auto"/>
          <w:sz w:val="28"/>
          <w:szCs w:val="28"/>
          <w:highlight w:val="none"/>
        </w:rPr>
        <w:t xml:space="preserve">оказываемой</w:t>
      </w:r>
      <w:r>
        <w:rPr>
          <w:color w:val="auto"/>
          <w:sz w:val="28"/>
          <w:szCs w:val="28"/>
          <w:highlight w:val="none"/>
        </w:rPr>
        <w:t xml:space="preserve">) в р</w:t>
      </w:r>
      <w:r>
        <w:rPr>
          <w:color w:val="auto"/>
          <w:sz w:val="28"/>
          <w:szCs w:val="28"/>
          <w:highlight w:val="none"/>
        </w:rPr>
        <w:t xml:space="preserve">амках государственного задания.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20"/>
        <w:jc w:val="both"/>
        <w:tabs>
          <w:tab w:val="left" w:pos="1824" w:leader="none"/>
        </w:tabs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  <w:highlight w:val="none"/>
        </w:rPr>
        <w:t xml:space="preserve">3. </w:t>
      </w:r>
      <w:r>
        <w:rPr>
          <w:color w:val="000000" w:themeColor="text1"/>
          <w:sz w:val="28"/>
          <w:szCs w:val="28"/>
          <w:highlight w:val="none"/>
        </w:rPr>
        <w:t xml:space="preserve">Размер платы за платные </w:t>
      </w:r>
      <w:r>
        <w:rPr>
          <w:color w:val="auto"/>
          <w:sz w:val="28"/>
          <w:szCs w:val="28"/>
          <w:highlight w:val="none"/>
        </w:rPr>
        <w:t xml:space="preserve">работы (</w:t>
      </w:r>
      <w:r>
        <w:rPr>
          <w:color w:val="auto"/>
          <w:sz w:val="28"/>
          <w:szCs w:val="28"/>
          <w:highlight w:val="none"/>
        </w:rPr>
        <w:t xml:space="preserve">услуги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000000" w:themeColor="text1"/>
          <w:sz w:val="28"/>
          <w:szCs w:val="28"/>
          <w:highlight w:val="none"/>
        </w:rPr>
        <w:t xml:space="preserve"> определяется учреждением на основании: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20"/>
        <w:jc w:val="both"/>
        <w:tabs>
          <w:tab w:val="left" w:pos="1824" w:leader="none"/>
        </w:tabs>
        <w:suppressLineNumbers w:val="0"/>
      </w:pPr>
      <w:r>
        <w:rPr>
          <w:color w:val="000000" w:themeColor="text1"/>
          <w:sz w:val="28"/>
          <w:szCs w:val="28"/>
          <w:highlight w:val="none"/>
        </w:rPr>
        <w:t xml:space="preserve">1) установленных нормативными правовыми актами Новосибирской области цен (тарифов) на соответствующие платные </w:t>
      </w:r>
      <w:r>
        <w:rPr>
          <w:color w:val="auto"/>
          <w:sz w:val="28"/>
          <w:szCs w:val="28"/>
          <w:highlight w:val="none"/>
        </w:rPr>
        <w:t xml:space="preserve">работы (</w:t>
      </w:r>
      <w:r>
        <w:rPr>
          <w:color w:val="auto"/>
          <w:sz w:val="28"/>
          <w:szCs w:val="28"/>
          <w:highlight w:val="none"/>
        </w:rPr>
        <w:t xml:space="preserve">услуги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000000" w:themeColor="text1"/>
          <w:sz w:val="28"/>
          <w:szCs w:val="28"/>
          <w:highlight w:val="none"/>
        </w:rPr>
        <w:t xml:space="preserve"> по основным видам деятельности учреждения (при наличии);</w:t>
      </w:r>
      <w:r/>
    </w:p>
    <w:p>
      <w:pPr>
        <w:ind w:firstLine="720"/>
        <w:jc w:val="both"/>
        <w:tabs>
          <w:tab w:val="left" w:pos="1824" w:leader="none"/>
        </w:tabs>
        <w:suppressLineNumbers w:val="0"/>
      </w:pPr>
      <w:r>
        <w:rPr>
          <w:color w:val="000000" w:themeColor="text1"/>
          <w:sz w:val="28"/>
          <w:szCs w:val="28"/>
          <w:highlight w:val="none"/>
        </w:rPr>
        <w:t xml:space="preserve">2) размера расчетных и расчетно-нормативных затрат на выполнение (оказание) учреждением платных </w:t>
      </w:r>
      <w:r>
        <w:rPr>
          <w:color w:val="auto"/>
          <w:sz w:val="28"/>
          <w:szCs w:val="28"/>
          <w:highlight w:val="none"/>
        </w:rPr>
        <w:t xml:space="preserve">работ (</w:t>
      </w:r>
      <w:r>
        <w:rPr>
          <w:color w:val="auto"/>
          <w:sz w:val="28"/>
          <w:szCs w:val="28"/>
          <w:highlight w:val="none"/>
        </w:rPr>
        <w:t xml:space="preserve">услуг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000000" w:themeColor="text1"/>
          <w:sz w:val="28"/>
          <w:szCs w:val="28"/>
          <w:highlight w:val="none"/>
        </w:rPr>
        <w:t xml:space="preserve"> по основным видам деятельности, а также размера расчетных и расчетно-нормативных затрат на содержание имущества учреждения с учетом:</w:t>
      </w:r>
      <w:r/>
    </w:p>
    <w:p>
      <w:pPr>
        <w:ind w:firstLine="720"/>
        <w:jc w:val="both"/>
        <w:tabs>
          <w:tab w:val="left" w:pos="1824" w:leader="none"/>
        </w:tabs>
        <w:suppressLineNumbers w:val="0"/>
      </w:pPr>
      <w:r>
        <w:rPr>
          <w:color w:val="000000" w:themeColor="text1"/>
          <w:sz w:val="28"/>
          <w:szCs w:val="28"/>
          <w:highlight w:val="none"/>
        </w:rPr>
        <w:t xml:space="preserve">а) анализа фактических затрат учреждения на </w:t>
      </w:r>
      <w:r>
        <w:rPr>
          <w:color w:val="000000" w:themeColor="text1"/>
          <w:sz w:val="28"/>
          <w:szCs w:val="28"/>
          <w:highlight w:val="none"/>
        </w:rPr>
        <w:t xml:space="preserve">выполнение (оказание)</w:t>
      </w:r>
      <w:r>
        <w:rPr>
          <w:color w:val="000000" w:themeColor="text1"/>
          <w:sz w:val="28"/>
          <w:szCs w:val="28"/>
          <w:highlight w:val="none"/>
        </w:rPr>
        <w:t xml:space="preserve"> платных </w:t>
      </w:r>
      <w:r>
        <w:rPr>
          <w:color w:val="auto"/>
          <w:sz w:val="28"/>
          <w:szCs w:val="28"/>
          <w:highlight w:val="none"/>
        </w:rPr>
        <w:t xml:space="preserve">работ (</w:t>
      </w:r>
      <w:r>
        <w:rPr>
          <w:color w:val="auto"/>
          <w:sz w:val="28"/>
          <w:szCs w:val="28"/>
          <w:highlight w:val="none"/>
        </w:rPr>
        <w:t xml:space="preserve">услуг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000000" w:themeColor="text1"/>
          <w:sz w:val="28"/>
          <w:szCs w:val="28"/>
          <w:highlight w:val="none"/>
        </w:rPr>
        <w:t xml:space="preserve"> по основным видам деятельности в предшествующие периоды;</w:t>
      </w:r>
      <w:r/>
    </w:p>
    <w:p>
      <w:pPr>
        <w:ind w:firstLine="720"/>
        <w:jc w:val="both"/>
        <w:tabs>
          <w:tab w:val="left" w:pos="1824" w:leader="none"/>
        </w:tabs>
        <w:suppressLineNumbers w:val="0"/>
      </w:pPr>
      <w:r>
        <w:rPr>
          <w:color w:val="000000" w:themeColor="text1"/>
          <w:sz w:val="28"/>
          <w:szCs w:val="28"/>
          <w:highlight w:val="none"/>
        </w:rPr>
        <w:t xml:space="preserve">б) п</w:t>
      </w:r>
      <w:r>
        <w:rPr>
          <w:color w:val="000000" w:themeColor="text1"/>
          <w:sz w:val="28"/>
          <w:szCs w:val="28"/>
          <w:highlight w:val="none"/>
        </w:rPr>
        <w:t xml:space="preserve">рогнозной информации о динамике изменения уровня цен (тарифов) в составе затрат на </w:t>
      </w:r>
      <w:r>
        <w:rPr>
          <w:color w:val="000000" w:themeColor="text1"/>
          <w:sz w:val="28"/>
          <w:szCs w:val="28"/>
          <w:highlight w:val="none"/>
        </w:rPr>
        <w:t xml:space="preserve">выполнение (оказание)</w:t>
      </w:r>
      <w:r>
        <w:rPr>
          <w:color w:val="000000" w:themeColor="text1"/>
          <w:sz w:val="28"/>
          <w:szCs w:val="28"/>
          <w:highlight w:val="none"/>
        </w:rPr>
        <w:t xml:space="preserve"> учреждением платных </w:t>
      </w:r>
      <w:r>
        <w:rPr>
          <w:color w:val="auto"/>
          <w:sz w:val="28"/>
          <w:szCs w:val="28"/>
          <w:highlight w:val="none"/>
        </w:rPr>
        <w:t xml:space="preserve">работ (</w:t>
      </w:r>
      <w:r>
        <w:rPr>
          <w:color w:val="auto"/>
          <w:sz w:val="28"/>
          <w:szCs w:val="28"/>
          <w:highlight w:val="none"/>
        </w:rPr>
        <w:t xml:space="preserve">услуг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000000" w:themeColor="text1"/>
          <w:sz w:val="28"/>
          <w:szCs w:val="28"/>
          <w:highlight w:val="none"/>
        </w:rPr>
        <w:t xml:space="preserve"> по основным видам деятельности, включая регулируемые государством цены (тарифы) на товары, работы, услуги субъектов е</w:t>
      </w:r>
      <w:r>
        <w:rPr>
          <w:color w:val="000000" w:themeColor="text1"/>
          <w:sz w:val="28"/>
          <w:szCs w:val="28"/>
          <w:highlight w:val="none"/>
        </w:rPr>
        <w:t xml:space="preserve">стественных монополий;</w:t>
      </w:r>
      <w:r/>
    </w:p>
    <w:p>
      <w:pPr>
        <w:ind w:firstLine="720"/>
        <w:jc w:val="both"/>
        <w:tabs>
          <w:tab w:val="left" w:pos="1824" w:leader="none"/>
        </w:tabs>
        <w:suppressLineNumbers w:val="0"/>
      </w:pPr>
      <w:r>
        <w:rPr>
          <w:color w:val="000000" w:themeColor="text1"/>
          <w:sz w:val="28"/>
          <w:szCs w:val="28"/>
          <w:highlight w:val="none"/>
        </w:rPr>
        <w:t xml:space="preserve">в) анализа существующего и прогнозируемого объема рыночных предложений на аналогичные </w:t>
      </w:r>
      <w:r>
        <w:rPr>
          <w:color w:val="auto"/>
          <w:sz w:val="28"/>
          <w:szCs w:val="28"/>
          <w:highlight w:val="none"/>
        </w:rPr>
        <w:t xml:space="preserve">работы (</w:t>
      </w:r>
      <w:r>
        <w:rPr>
          <w:color w:val="auto"/>
          <w:sz w:val="28"/>
          <w:szCs w:val="28"/>
          <w:highlight w:val="none"/>
        </w:rPr>
        <w:t xml:space="preserve">услуги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000000" w:themeColor="text1"/>
          <w:sz w:val="28"/>
          <w:szCs w:val="28"/>
          <w:highlight w:val="none"/>
        </w:rPr>
        <w:t xml:space="preserve"> и уровня цен (тарифов) на них;</w:t>
      </w:r>
      <w:r/>
    </w:p>
    <w:p>
      <w:pPr>
        <w:ind w:firstLine="720"/>
        <w:jc w:val="both"/>
        <w:tabs>
          <w:tab w:val="left" w:pos="1824" w:leader="none"/>
        </w:tabs>
        <w:rPr>
          <w:color w:val="000000" w:themeColor="text1"/>
          <w:sz w:val="28"/>
          <w:szCs w:val="28"/>
          <w:highlight w:val="none"/>
        </w:rPr>
        <w:suppressLineNumbers w:val="0"/>
      </w:pPr>
      <w:r>
        <w:rPr>
          <w:color w:val="000000" w:themeColor="text1"/>
          <w:sz w:val="28"/>
          <w:szCs w:val="28"/>
          <w:highlight w:val="none"/>
        </w:rPr>
        <w:t xml:space="preserve">г) анализа существующего и прогнозируемого объема спроса на аналогичные </w:t>
      </w:r>
      <w:r>
        <w:rPr>
          <w:color w:val="auto"/>
          <w:sz w:val="28"/>
          <w:szCs w:val="28"/>
          <w:highlight w:val="none"/>
        </w:rPr>
        <w:t xml:space="preserve">работы (</w:t>
      </w:r>
      <w:r>
        <w:rPr>
          <w:color w:val="auto"/>
          <w:sz w:val="28"/>
          <w:szCs w:val="28"/>
          <w:highlight w:val="none"/>
        </w:rPr>
        <w:t xml:space="preserve">услуги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000000" w:themeColor="text1"/>
          <w:sz w:val="28"/>
          <w:szCs w:val="28"/>
          <w:highlight w:val="none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firstLine="720"/>
        <w:jc w:val="both"/>
        <w:tabs>
          <w:tab w:val="left" w:pos="1824" w:leader="none"/>
        </w:tabs>
        <w:rPr>
          <w:color w:val="000000" w:themeColor="text1"/>
          <w:sz w:val="28"/>
          <w:szCs w:val="28"/>
          <w:highlight w:val="none"/>
        </w:rPr>
        <w:suppressLineNumbers w:val="0"/>
      </w:pPr>
      <w:r>
        <w:rPr>
          <w:color w:val="000000" w:themeColor="text1"/>
          <w:sz w:val="28"/>
          <w:szCs w:val="28"/>
          <w:highlight w:val="none"/>
        </w:rPr>
        <w:t xml:space="preserve">4. Размер платы за платные </w:t>
      </w:r>
      <w:r>
        <w:rPr>
          <w:color w:val="auto"/>
          <w:sz w:val="28"/>
          <w:szCs w:val="28"/>
          <w:highlight w:val="none"/>
        </w:rPr>
        <w:t xml:space="preserve">работы (</w:t>
      </w:r>
      <w:r>
        <w:rPr>
          <w:color w:val="auto"/>
          <w:sz w:val="28"/>
          <w:szCs w:val="28"/>
          <w:highlight w:val="none"/>
        </w:rPr>
        <w:t xml:space="preserve">услуги</w:t>
      </w:r>
      <w:r>
        <w:rPr>
          <w:color w:val="auto"/>
          <w:sz w:val="28"/>
          <w:szCs w:val="28"/>
          <w:highlight w:val="none"/>
        </w:rPr>
        <w:t xml:space="preserve">)</w:t>
      </w:r>
      <w:r>
        <w:rPr>
          <w:color w:val="000000" w:themeColor="text1"/>
          <w:sz w:val="28"/>
          <w:szCs w:val="28"/>
          <w:highlight w:val="none"/>
        </w:rPr>
        <w:t xml:space="preserve"> рассчитывается учреждением в соответствии с настоящим Порядком и утверждается приказом учреждения.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left="0" w:right="0" w:firstLine="709"/>
        <w:jc w:val="both"/>
        <w:tabs>
          <w:tab w:val="left" w:pos="1824" w:leader="none"/>
        </w:tabs>
        <w:rPr>
          <w:color w:val="auto"/>
          <w:sz w:val="28"/>
          <w:szCs w:val="28"/>
          <w:highlight w:val="none"/>
        </w:rPr>
        <w:suppressLineNumbers w:val="0"/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  <w:t xml:space="preserve">5. Размер</w:t>
      </w:r>
      <w:r>
        <w:rPr>
          <w:color w:val="auto"/>
          <w:sz w:val="28"/>
          <w:szCs w:val="28"/>
          <w:highlight w:val="none"/>
        </w:rPr>
        <w:t xml:space="preserve"> платы за платные </w:t>
      </w:r>
      <w:r>
        <w:rPr>
          <w:color w:val="auto"/>
          <w:sz w:val="28"/>
          <w:szCs w:val="28"/>
          <w:highlight w:val="none"/>
        </w:rPr>
        <w:t xml:space="preserve">работы (</w:t>
      </w:r>
      <w:r>
        <w:rPr>
          <w:color w:val="auto"/>
          <w:sz w:val="28"/>
          <w:szCs w:val="28"/>
          <w:highlight w:val="none"/>
        </w:rPr>
        <w:t xml:space="preserve">услуги</w:t>
      </w:r>
      <w:r>
        <w:rPr>
          <w:color w:val="auto"/>
          <w:sz w:val="28"/>
          <w:szCs w:val="28"/>
          <w:highlight w:val="none"/>
        </w:rPr>
        <w:t xml:space="preserve">), </w:t>
      </w:r>
      <w:r>
        <w:rPr>
          <w:color w:val="000000" w:themeColor="text1"/>
          <w:sz w:val="28"/>
          <w:szCs w:val="28"/>
          <w:highlight w:val="none"/>
        </w:rPr>
        <w:t xml:space="preserve">выполнение (оказание)</w:t>
      </w:r>
      <w:r>
        <w:rPr>
          <w:color w:val="auto"/>
          <w:sz w:val="28"/>
          <w:szCs w:val="28"/>
          <w:highlight w:val="none"/>
        </w:rPr>
        <w:t xml:space="preserve"> которых носит разовый характер, определяется учреждением по согласованию с контрагентом на основе сметы (калькуляции затрат) с учетом положений пунктов 2 и 3 настоящего Порядка.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567" w:bottom="1134" w:left="1701" w:header="0" w:footer="39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4"/>
      <w:ind w:right="196"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4"/>
      <w:rPr>
        <w:rStyle w:val="895"/>
      </w:rPr>
      <w:framePr w:wrap="around" w:vAnchor="text" w:hAnchor="margin" w:xAlign="right" w:y="1"/>
    </w:pPr>
    <w:r>
      <w:rPr>
        <w:rStyle w:val="895"/>
      </w:rPr>
      <w:fldChar w:fldCharType="begin"/>
    </w:r>
    <w:r>
      <w:rPr>
        <w:rStyle w:val="895"/>
      </w:rPr>
      <w:instrText xml:space="preserve">PAGE  </w:instrText>
    </w:r>
    <w:r>
      <w:rPr>
        <w:rStyle w:val="895"/>
      </w:rPr>
      <w:fldChar w:fldCharType="separate"/>
    </w:r>
    <w:r>
      <w:rPr>
        <w:rStyle w:val="895"/>
      </w:rPr>
      <w:t xml:space="preserve">2</w:t>
    </w:r>
    <w:r>
      <w:rPr>
        <w:rStyle w:val="895"/>
      </w:rPr>
      <w:fldChar w:fldCharType="end"/>
    </w:r>
    <w:r>
      <w:rPr>
        <w:rStyle w:val="895"/>
      </w:rPr>
    </w:r>
    <w:r>
      <w:rPr>
        <w:rStyle w:val="895"/>
      </w:rPr>
    </w:r>
  </w:p>
  <w:p>
    <w:pPr>
      <w:pStyle w:val="89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0">
    <w:name w:val="Heading 1"/>
    <w:basedOn w:val="888"/>
    <w:next w:val="888"/>
    <w:link w:val="71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1">
    <w:name w:val="Heading 1 Char"/>
    <w:link w:val="710"/>
    <w:uiPriority w:val="9"/>
    <w:rPr>
      <w:rFonts w:ascii="Arial" w:hAnsi="Arial" w:eastAsia="Arial" w:cs="Arial"/>
      <w:sz w:val="40"/>
      <w:szCs w:val="40"/>
    </w:rPr>
  </w:style>
  <w:style w:type="paragraph" w:styleId="712">
    <w:name w:val="Heading 2"/>
    <w:basedOn w:val="888"/>
    <w:next w:val="888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3">
    <w:name w:val="Heading 2 Char"/>
    <w:link w:val="712"/>
    <w:uiPriority w:val="9"/>
    <w:rPr>
      <w:rFonts w:ascii="Arial" w:hAnsi="Arial" w:eastAsia="Arial" w:cs="Arial"/>
      <w:sz w:val="34"/>
    </w:rPr>
  </w:style>
  <w:style w:type="paragraph" w:styleId="714">
    <w:name w:val="Heading 3"/>
    <w:basedOn w:val="888"/>
    <w:next w:val="888"/>
    <w:link w:val="71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link w:val="714"/>
    <w:uiPriority w:val="9"/>
    <w:rPr>
      <w:rFonts w:ascii="Arial" w:hAnsi="Arial" w:eastAsia="Arial" w:cs="Arial"/>
      <w:sz w:val="30"/>
      <w:szCs w:val="30"/>
    </w:rPr>
  </w:style>
  <w:style w:type="paragraph" w:styleId="716">
    <w:name w:val="Heading 4"/>
    <w:basedOn w:val="888"/>
    <w:next w:val="888"/>
    <w:link w:val="7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link w:val="716"/>
    <w:uiPriority w:val="9"/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888"/>
    <w:next w:val="888"/>
    <w:link w:val="7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link w:val="718"/>
    <w:uiPriority w:val="9"/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888"/>
    <w:next w:val="888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link w:val="720"/>
    <w:uiPriority w:val="9"/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888"/>
    <w:next w:val="888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888"/>
    <w:next w:val="888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link w:val="724"/>
    <w:uiPriority w:val="9"/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888"/>
    <w:next w:val="888"/>
    <w:link w:val="72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link w:val="72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List Paragraph"/>
    <w:basedOn w:val="888"/>
    <w:uiPriority w:val="34"/>
    <w:qFormat/>
    <w:pPr>
      <w:contextualSpacing/>
      <w:ind w:left="720"/>
    </w:pPr>
  </w:style>
  <w:style w:type="paragraph" w:styleId="729">
    <w:name w:val="No Spacing"/>
    <w:uiPriority w:val="1"/>
    <w:qFormat/>
    <w:pPr>
      <w:spacing w:before="0" w:after="0" w:line="240" w:lineRule="auto"/>
    </w:pPr>
  </w:style>
  <w:style w:type="paragraph" w:styleId="730">
    <w:name w:val="Title"/>
    <w:basedOn w:val="888"/>
    <w:next w:val="888"/>
    <w:link w:val="73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1">
    <w:name w:val="Title Char"/>
    <w:link w:val="730"/>
    <w:uiPriority w:val="10"/>
    <w:rPr>
      <w:sz w:val="48"/>
      <w:szCs w:val="48"/>
    </w:rPr>
  </w:style>
  <w:style w:type="paragraph" w:styleId="732">
    <w:name w:val="Subtitle"/>
    <w:basedOn w:val="888"/>
    <w:next w:val="888"/>
    <w:link w:val="733"/>
    <w:uiPriority w:val="11"/>
    <w:qFormat/>
    <w:pPr>
      <w:spacing w:before="200" w:after="200"/>
    </w:pPr>
    <w:rPr>
      <w:sz w:val="24"/>
      <w:szCs w:val="24"/>
    </w:rPr>
  </w:style>
  <w:style w:type="character" w:styleId="733">
    <w:name w:val="Subtitle Char"/>
    <w:link w:val="732"/>
    <w:uiPriority w:val="11"/>
    <w:rPr>
      <w:sz w:val="24"/>
      <w:szCs w:val="24"/>
    </w:rPr>
  </w:style>
  <w:style w:type="paragraph" w:styleId="734">
    <w:name w:val="Quote"/>
    <w:basedOn w:val="888"/>
    <w:next w:val="888"/>
    <w:link w:val="735"/>
    <w:uiPriority w:val="29"/>
    <w:qFormat/>
    <w:pPr>
      <w:ind w:left="720" w:right="720"/>
    </w:pPr>
    <w:rPr>
      <w:i/>
    </w:rPr>
  </w:style>
  <w:style w:type="character" w:styleId="735">
    <w:name w:val="Quote Char"/>
    <w:link w:val="734"/>
    <w:uiPriority w:val="29"/>
    <w:rPr>
      <w:i/>
    </w:rPr>
  </w:style>
  <w:style w:type="paragraph" w:styleId="736">
    <w:name w:val="Intense Quote"/>
    <w:basedOn w:val="888"/>
    <w:next w:val="888"/>
    <w:link w:val="73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7">
    <w:name w:val="Intense Quote Char"/>
    <w:link w:val="736"/>
    <w:uiPriority w:val="30"/>
    <w:rPr>
      <w:i/>
    </w:rPr>
  </w:style>
  <w:style w:type="paragraph" w:styleId="738">
    <w:name w:val="Header"/>
    <w:basedOn w:val="888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Header Char"/>
    <w:link w:val="738"/>
    <w:uiPriority w:val="99"/>
  </w:style>
  <w:style w:type="paragraph" w:styleId="740">
    <w:name w:val="Footer"/>
    <w:basedOn w:val="888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1">
    <w:name w:val="Footer Char"/>
    <w:link w:val="740"/>
    <w:uiPriority w:val="99"/>
  </w:style>
  <w:style w:type="paragraph" w:styleId="742">
    <w:name w:val="Caption"/>
    <w:basedOn w:val="888"/>
    <w:next w:val="888"/>
    <w:link w:val="7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3">
    <w:name w:val="Caption Char"/>
    <w:link w:val="742"/>
    <w:uiPriority w:val="35"/>
    <w:rPr>
      <w:b/>
      <w:bCs/>
      <w:color w:val="4f81bd" w:themeColor="accent1"/>
      <w:sz w:val="18"/>
      <w:szCs w:val="18"/>
    </w:rPr>
  </w:style>
  <w:style w:type="table" w:styleId="74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0">
    <w:name w:val="Hyperlink"/>
    <w:uiPriority w:val="99"/>
    <w:unhideWhenUsed/>
    <w:rPr>
      <w:color w:val="0000ff" w:themeColor="hyperlink"/>
      <w:u w:val="single"/>
    </w:rPr>
  </w:style>
  <w:style w:type="paragraph" w:styleId="871">
    <w:name w:val="footnote text"/>
    <w:basedOn w:val="888"/>
    <w:link w:val="872"/>
    <w:uiPriority w:val="99"/>
    <w:semiHidden/>
    <w:unhideWhenUsed/>
    <w:pPr>
      <w:spacing w:after="40" w:line="240" w:lineRule="auto"/>
    </w:pPr>
    <w:rPr>
      <w:sz w:val="18"/>
    </w:rPr>
  </w:style>
  <w:style w:type="character" w:styleId="872">
    <w:name w:val="Footnote Text Char"/>
    <w:link w:val="871"/>
    <w:uiPriority w:val="99"/>
    <w:rPr>
      <w:sz w:val="18"/>
    </w:rPr>
  </w:style>
  <w:style w:type="character" w:styleId="873">
    <w:name w:val="footnote reference"/>
    <w:uiPriority w:val="99"/>
    <w:unhideWhenUsed/>
    <w:rPr>
      <w:vertAlign w:val="superscript"/>
    </w:rPr>
  </w:style>
  <w:style w:type="paragraph" w:styleId="874">
    <w:name w:val="endnote text"/>
    <w:basedOn w:val="888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uiPriority w:val="99"/>
    <w:semiHidden/>
    <w:unhideWhenUsed/>
    <w:rPr>
      <w:vertAlign w:val="superscript"/>
    </w:rPr>
  </w:style>
  <w:style w:type="paragraph" w:styleId="877">
    <w:name w:val="toc 1"/>
    <w:basedOn w:val="888"/>
    <w:next w:val="888"/>
    <w:uiPriority w:val="39"/>
    <w:unhideWhenUsed/>
    <w:pPr>
      <w:ind w:left="0" w:right="0" w:firstLine="0"/>
      <w:spacing w:after="57"/>
    </w:pPr>
  </w:style>
  <w:style w:type="paragraph" w:styleId="878">
    <w:name w:val="toc 2"/>
    <w:basedOn w:val="888"/>
    <w:next w:val="888"/>
    <w:uiPriority w:val="39"/>
    <w:unhideWhenUsed/>
    <w:pPr>
      <w:ind w:left="283" w:right="0" w:firstLine="0"/>
      <w:spacing w:after="57"/>
    </w:pPr>
  </w:style>
  <w:style w:type="paragraph" w:styleId="879">
    <w:name w:val="toc 3"/>
    <w:basedOn w:val="888"/>
    <w:next w:val="888"/>
    <w:uiPriority w:val="39"/>
    <w:unhideWhenUsed/>
    <w:pPr>
      <w:ind w:left="567" w:right="0" w:firstLine="0"/>
      <w:spacing w:after="57"/>
    </w:pPr>
  </w:style>
  <w:style w:type="paragraph" w:styleId="880">
    <w:name w:val="toc 4"/>
    <w:basedOn w:val="888"/>
    <w:next w:val="888"/>
    <w:uiPriority w:val="39"/>
    <w:unhideWhenUsed/>
    <w:pPr>
      <w:ind w:left="850" w:right="0" w:firstLine="0"/>
      <w:spacing w:after="57"/>
    </w:pPr>
  </w:style>
  <w:style w:type="paragraph" w:styleId="881">
    <w:name w:val="toc 5"/>
    <w:basedOn w:val="888"/>
    <w:next w:val="888"/>
    <w:uiPriority w:val="39"/>
    <w:unhideWhenUsed/>
    <w:pPr>
      <w:ind w:left="1134" w:right="0" w:firstLine="0"/>
      <w:spacing w:after="57"/>
    </w:pPr>
  </w:style>
  <w:style w:type="paragraph" w:styleId="882">
    <w:name w:val="toc 6"/>
    <w:basedOn w:val="888"/>
    <w:next w:val="888"/>
    <w:uiPriority w:val="39"/>
    <w:unhideWhenUsed/>
    <w:pPr>
      <w:ind w:left="1417" w:right="0" w:firstLine="0"/>
      <w:spacing w:after="57"/>
    </w:pPr>
  </w:style>
  <w:style w:type="paragraph" w:styleId="883">
    <w:name w:val="toc 7"/>
    <w:basedOn w:val="888"/>
    <w:next w:val="888"/>
    <w:uiPriority w:val="39"/>
    <w:unhideWhenUsed/>
    <w:pPr>
      <w:ind w:left="1701" w:right="0" w:firstLine="0"/>
      <w:spacing w:after="57"/>
    </w:pPr>
  </w:style>
  <w:style w:type="paragraph" w:styleId="884">
    <w:name w:val="toc 8"/>
    <w:basedOn w:val="888"/>
    <w:next w:val="888"/>
    <w:uiPriority w:val="39"/>
    <w:unhideWhenUsed/>
    <w:pPr>
      <w:ind w:left="1984" w:right="0" w:firstLine="0"/>
      <w:spacing w:after="57"/>
    </w:pPr>
  </w:style>
  <w:style w:type="paragraph" w:styleId="885">
    <w:name w:val="toc 9"/>
    <w:basedOn w:val="888"/>
    <w:next w:val="888"/>
    <w:uiPriority w:val="39"/>
    <w:unhideWhenUsed/>
    <w:pPr>
      <w:ind w:left="2268" w:right="0" w:firstLine="0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888"/>
    <w:next w:val="888"/>
    <w:uiPriority w:val="99"/>
    <w:unhideWhenUsed/>
    <w:pPr>
      <w:spacing w:after="0" w:afterAutospacing="0"/>
    </w:pPr>
  </w:style>
  <w:style w:type="paragraph" w:styleId="888" w:default="1">
    <w:name w:val="Normal"/>
    <w:next w:val="888"/>
    <w:link w:val="888"/>
    <w:qFormat/>
    <w:rPr>
      <w:sz w:val="24"/>
      <w:szCs w:val="24"/>
      <w:lang w:val="ru-RU" w:eastAsia="ru-RU" w:bidi="ar-SA"/>
    </w:rPr>
  </w:style>
  <w:style w:type="character" w:styleId="889">
    <w:name w:val="Основной шрифт абзаца"/>
    <w:next w:val="889"/>
    <w:link w:val="888"/>
    <w:semiHidden/>
  </w:style>
  <w:style w:type="table" w:styleId="890">
    <w:name w:val="Обычная таблица"/>
    <w:next w:val="890"/>
    <w:link w:val="888"/>
    <w:semiHidden/>
    <w:tblPr/>
  </w:style>
  <w:style w:type="numbering" w:styleId="891">
    <w:name w:val="Нет списка"/>
    <w:next w:val="891"/>
    <w:link w:val="888"/>
    <w:semiHidden/>
  </w:style>
  <w:style w:type="paragraph" w:styleId="892">
    <w:name w:val="Текст сноски"/>
    <w:basedOn w:val="888"/>
    <w:next w:val="892"/>
    <w:link w:val="888"/>
    <w:semiHidden/>
    <w:rPr>
      <w:sz w:val="20"/>
      <w:szCs w:val="20"/>
    </w:rPr>
  </w:style>
  <w:style w:type="character" w:styleId="893">
    <w:name w:val="Знак сноски"/>
    <w:next w:val="893"/>
    <w:link w:val="888"/>
    <w:semiHidden/>
    <w:rPr>
      <w:vertAlign w:val="superscript"/>
    </w:rPr>
  </w:style>
  <w:style w:type="paragraph" w:styleId="894">
    <w:name w:val="Нижний колонтитул"/>
    <w:basedOn w:val="888"/>
    <w:next w:val="894"/>
    <w:link w:val="888"/>
    <w:pPr>
      <w:tabs>
        <w:tab w:val="center" w:pos="4677" w:leader="none"/>
        <w:tab w:val="right" w:pos="9355" w:leader="none"/>
      </w:tabs>
    </w:pPr>
  </w:style>
  <w:style w:type="character" w:styleId="895">
    <w:name w:val="Номер страницы"/>
    <w:basedOn w:val="889"/>
    <w:next w:val="895"/>
    <w:link w:val="888"/>
  </w:style>
  <w:style w:type="paragraph" w:styleId="896">
    <w:name w:val="Верхний колонтитул"/>
    <w:basedOn w:val="888"/>
    <w:next w:val="896"/>
    <w:link w:val="888"/>
    <w:pPr>
      <w:tabs>
        <w:tab w:val="center" w:pos="4677" w:leader="none"/>
        <w:tab w:val="right" w:pos="9355" w:leader="none"/>
      </w:tabs>
    </w:pPr>
  </w:style>
  <w:style w:type="paragraph" w:styleId="897">
    <w:name w:val="Заголовок1"/>
    <w:basedOn w:val="888"/>
    <w:next w:val="888"/>
    <w:link w:val="888"/>
    <w:pPr>
      <w:spacing w:before="120" w:after="120"/>
    </w:pPr>
    <w:rPr>
      <w:rFonts w:cs="Verdana"/>
      <w:b/>
      <w:sz w:val="28"/>
      <w:szCs w:val="20"/>
      <w:lang w:val="en-US" w:eastAsia="en-US"/>
    </w:rPr>
  </w:style>
  <w:style w:type="paragraph" w:styleId="898">
    <w:name w:val="Текст выноски"/>
    <w:basedOn w:val="888"/>
    <w:next w:val="898"/>
    <w:link w:val="899"/>
    <w:rPr>
      <w:rFonts w:ascii="Tahoma" w:hAnsi="Tahoma"/>
      <w:sz w:val="16"/>
      <w:szCs w:val="16"/>
      <w:lang w:val="en-US" w:eastAsia="en-US"/>
    </w:rPr>
  </w:style>
  <w:style w:type="character" w:styleId="899">
    <w:name w:val="Текст выноски Знак"/>
    <w:next w:val="899"/>
    <w:link w:val="898"/>
    <w:rPr>
      <w:rFonts w:ascii="Tahoma" w:hAnsi="Tahoma" w:cs="Tahoma"/>
      <w:sz w:val="16"/>
      <w:szCs w:val="16"/>
    </w:rPr>
  </w:style>
  <w:style w:type="table" w:styleId="900">
    <w:name w:val="Сетка таблицы"/>
    <w:basedOn w:val="890"/>
    <w:next w:val="900"/>
    <w:link w:val="888"/>
    <w:uiPriority w:val="99"/>
    <w:rPr>
      <w:rFonts w:ascii="Calibri" w:hAnsi="Calibri" w:cs="Calibri"/>
    </w:rPr>
    <w:tblPr/>
  </w:style>
  <w:style w:type="character" w:styleId="901" w:default="1">
    <w:name w:val="Default Paragraph Font"/>
    <w:uiPriority w:val="1"/>
    <w:semiHidden/>
    <w:unhideWhenUsed/>
  </w:style>
  <w:style w:type="numbering" w:styleId="902" w:default="1">
    <w:name w:val="No List"/>
    <w:uiPriority w:val="99"/>
    <w:semiHidden/>
    <w:unhideWhenUsed/>
  </w:style>
  <w:style w:type="table" w:styleId="903" w:default="1">
    <w:name w:val="Normal Table"/>
    <w:uiPriority w:val="99"/>
    <w:semiHidden/>
    <w:unhideWhenUsed/>
    <w:tblPr/>
  </w:style>
  <w:style w:type="paragraph" w:styleId="904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505.ru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государственному заданию</dc:title>
  <dc:creator>maria</dc:creator>
  <cp:revision>50</cp:revision>
  <dcterms:created xsi:type="dcterms:W3CDTF">2018-02-09T06:28:00Z</dcterms:created>
  <dcterms:modified xsi:type="dcterms:W3CDTF">2026-07-10T08:52:43Z</dcterms:modified>
  <cp:version>917504</cp:version>
</cp:coreProperties>
</file>