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rPr>
          <w:rFonts w:eastAsia="Times New Roman"/>
          <w:sz w:val="28"/>
          <w:szCs w:val="28"/>
          <w:lang w:val="en-US"/>
        </w:rPr>
        <w:outlineLvl w:val="0"/>
      </w:pPr>
      <w:r>
        <w:rPr>
          <w:rFonts w:eastAsia="Times New Roman"/>
          <w:sz w:val="28"/>
          <w:szCs w:val="28"/>
          <w:lang w:val="en-US"/>
        </w:rPr>
      </w:r>
      <w:r>
        <w:rPr>
          <w:rFonts w:eastAsia="Times New Roman"/>
          <w:sz w:val="28"/>
          <w:szCs w:val="28"/>
          <w:lang w:val="en-US"/>
        </w:rPr>
      </w:r>
    </w:p>
    <w:p>
      <w:pPr>
        <w:jc w:val="right"/>
        <w:widowControl w:val="off"/>
        <w:rPr>
          <w:rFonts w:eastAsia="Times New Roman"/>
          <w:sz w:val="28"/>
          <w:szCs w:val="28"/>
          <w:highlight w:val="white"/>
        </w:rPr>
        <w:outlineLvl w:val="0"/>
      </w:pPr>
      <w:r>
        <w:rPr>
          <w:rFonts w:eastAsia="Times New Roman"/>
          <w:sz w:val="28"/>
          <w:szCs w:val="28"/>
          <w:highlight w:val="white"/>
        </w:rPr>
        <w:t xml:space="preserve">ПРИЛОЖЕНИЕ</w:t>
      </w:r>
      <w:r>
        <w:rPr>
          <w:rFonts w:eastAsia="Times New Roman"/>
          <w:sz w:val="28"/>
          <w:szCs w:val="28"/>
          <w:highlight w:val="white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highlight w:val="white"/>
        </w:rPr>
        <w:t xml:space="preserve">к приказу де</w:t>
      </w:r>
      <w:r>
        <w:rPr>
          <w:rFonts w:eastAsia="Times New Roman"/>
          <w:sz w:val="28"/>
          <w:szCs w:val="28"/>
        </w:rPr>
        <w:t xml:space="preserve">партамента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имущества и земельных отношений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Новосибирской области</w:t>
      </w:r>
      <w:r>
        <w:rPr>
          <w:rFonts w:eastAsia="Times New Roman"/>
          <w:sz w:val="28"/>
          <w:szCs w:val="28"/>
        </w:rPr>
      </w:r>
    </w:p>
    <w:p>
      <w:pPr>
        <w:jc w:val="right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____________ № _________</w:t>
      </w:r>
      <w:r>
        <w:rPr>
          <w:rFonts w:eastAsia="Times New Roman"/>
          <w:sz w:val="28"/>
          <w:szCs w:val="28"/>
        </w:rPr>
      </w:r>
    </w:p>
    <w:p>
      <w:pPr>
        <w:widowControl w:val="off"/>
        <w:rPr>
          <w:rFonts w:eastAsia="Times New Roman"/>
          <w:sz w:val="28"/>
          <w:szCs w:val="28"/>
        </w:rPr>
      </w:pPr>
      <w:r/>
      <w:bookmarkStart w:id="0" w:name="P29"/>
      <w:r/>
      <w:bookmarkEnd w:id="0"/>
      <w:r/>
      <w:r>
        <w:rPr>
          <w:rFonts w:eastAsia="Times New Roman"/>
          <w:sz w:val="28"/>
          <w:szCs w:val="28"/>
        </w:rPr>
      </w:r>
    </w:p>
    <w:p>
      <w:pPr>
        <w:pStyle w:val="882"/>
        <w:ind w:left="5670"/>
        <w:jc w:val="center"/>
        <w:tabs>
          <w:tab w:val="left" w:pos="102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bCs/>
          <w:sz w:val="28"/>
          <w:szCs w:val="28"/>
        </w:rPr>
        <w:t xml:space="preserve">проведения оценки рисков нарушения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требований Федерального </w:t>
      </w:r>
      <w:bookmarkStart w:id="1" w:name="_GoBack"/>
      <w:r>
        <w:rPr>
          <w:rFonts w:eastAsia="Times New Roman"/>
          <w:b/>
          <w:bCs/>
          <w:color w:val="000000"/>
          <w:sz w:val="28"/>
          <w:szCs w:val="28"/>
        </w:rPr>
        <w:t xml:space="preserve">закон</w:t>
      </w:r>
      <w:bookmarkEnd w:id="1"/>
      <w:r>
        <w:rPr>
          <w:rFonts w:eastAsia="Times New Roman"/>
          <w:b/>
          <w:bCs/>
          <w:color w:val="000000"/>
          <w:sz w:val="28"/>
          <w:szCs w:val="28"/>
        </w:rPr>
        <w:t xml:space="preserve">а от 18.07.2011 № 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  <w:r>
        <w:rPr>
          <w:rFonts w:eastAsia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государственными </w:t>
      </w:r>
      <w:r>
        <w:rPr>
          <w:rFonts w:eastAsia="Times New Roman"/>
          <w:b/>
          <w:bCs/>
          <w:color w:val="000000"/>
          <w:sz w:val="28"/>
          <w:szCs w:val="28"/>
          <w:highlight w:val="white"/>
        </w:rPr>
        <w:t xml:space="preserve">бюджетными учреждениями Новосиб</w:t>
      </w:r>
      <w:r>
        <w:rPr>
          <w:rFonts w:eastAsia="Times New Roman"/>
          <w:b/>
          <w:bCs/>
          <w:color w:val="000000"/>
          <w:sz w:val="28"/>
          <w:szCs w:val="28"/>
          <w:highlight w:val="white"/>
        </w:rPr>
        <w:t xml:space="preserve">ирской области, подведомственными департаменту имущества и земельных отношений Новосибирской области</w:t>
      </w:r>
      <w:r>
        <w:rPr>
          <w:b/>
          <w:sz w:val="28"/>
          <w:szCs w:val="28"/>
          <w:highlight w:val="white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 Порядок проведения</w:t>
      </w:r>
      <w:r>
        <w:rPr>
          <w:sz w:val="28"/>
          <w:szCs w:val="28"/>
        </w:rPr>
        <w:t xml:space="preserve"> оценки рисков нарушения </w:t>
      </w:r>
      <w:r>
        <w:rPr>
          <w:rFonts w:eastAsia="Times New Roman"/>
          <w:color w:val="000000"/>
          <w:sz w:val="28"/>
          <w:szCs w:val="28"/>
        </w:rPr>
        <w:t xml:space="preserve">требований Федерального закона от 18.07.2011 № 223-ФЗ «О закупках товаров, работ, услуг отдельными видами ю</w:t>
      </w:r>
      <w:r>
        <w:rPr>
          <w:rFonts w:eastAsia="Times New Roman"/>
          <w:color w:val="000000"/>
          <w:sz w:val="28"/>
          <w:szCs w:val="28"/>
        </w:rPr>
        <w:t xml:space="preserve">ридических лиц» и иных принятых в соответствии с ним нормативных правовых актов Российской Федерации государственными 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бюджетными </w:t>
      </w:r>
      <w:r>
        <w:rPr>
          <w:rFonts w:eastAsia="Times New Roman"/>
          <w:color w:val="000000"/>
          <w:sz w:val="28"/>
          <w:szCs w:val="28"/>
        </w:rPr>
        <w:t xml:space="preserve">учреждениями Новосибирской области, подведомственными департаменту имущества и земельных отношений Новосибирской области</w:t>
      </w:r>
      <w:r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 – Порядок) разработан в соответствии с пунктом 7 Порядка </w:t>
      </w:r>
      <w:r>
        <w:rPr>
          <w:rFonts w:eastAsia="Times New Roman"/>
          <w:color w:val="000000"/>
          <w:sz w:val="28"/>
          <w:szCs w:val="28"/>
        </w:rPr>
        <w:t xml:space="preserve">осуществления ведомственного контроля за соблюдением требований Федерального закона от 18.07.2011 № 223-ФЗ «О закупках товаров, работ, услуг отдельными видами юридических лиц» и иных принятых в соот</w:t>
      </w:r>
      <w:r>
        <w:rPr>
          <w:rFonts w:eastAsia="Times New Roman"/>
          <w:color w:val="000000"/>
          <w:sz w:val="28"/>
          <w:szCs w:val="28"/>
        </w:rPr>
        <w:t xml:space="preserve">ветствии с ним нормативных правовых актов Российской Федерации», установленного постановлением Правительства Новосибирской области от 26.08.2019 № 354-п</w:t>
      </w:r>
      <w:r>
        <w:rPr>
          <w:sz w:val="28"/>
          <w:szCs w:val="28"/>
        </w:rPr>
        <w:t xml:space="preserve"> (далее – Порядок № 354-</w:t>
      </w:r>
      <w:r>
        <w:rPr>
          <w:sz w:val="28"/>
          <w:szCs w:val="28"/>
          <w:highlight w:val="white"/>
        </w:rPr>
        <w:t xml:space="preserve">п), в</w:t>
      </w:r>
      <w:r>
        <w:rPr>
          <w:sz w:val="28"/>
          <w:szCs w:val="28"/>
        </w:rPr>
        <w:t xml:space="preserve"> целях применения риск-ориентированного подхода при осуществлении департаме</w:t>
      </w:r>
      <w:r>
        <w:rPr>
          <w:sz w:val="28"/>
          <w:szCs w:val="28"/>
        </w:rPr>
        <w:t xml:space="preserve">нтом имущества и земельных отношений Новосибирской области (далее </w:t>
      </w:r>
      <w:r>
        <w:rPr>
          <w:sz w:val="28"/>
          <w:szCs w:val="28"/>
        </w:rPr>
        <w:noBreakHyphen/>
        <w:t xml:space="preserve"> департамент) ведомственного контроля за соблюдением </w:t>
      </w:r>
      <w:r>
        <w:rPr>
          <w:rFonts w:eastAsia="Times New Roman"/>
          <w:color w:val="000000"/>
          <w:sz w:val="28"/>
          <w:szCs w:val="28"/>
        </w:rPr>
        <w:t xml:space="preserve">требований Федерального закона от 18.07.2011 № 223-ФЗ «О закупках товаров, работ, услуг отдельными видами юридических лиц» и иных принят</w:t>
      </w:r>
      <w:r>
        <w:rPr>
          <w:rFonts w:eastAsia="Times New Roman"/>
          <w:color w:val="000000"/>
          <w:sz w:val="28"/>
          <w:szCs w:val="28"/>
        </w:rPr>
        <w:t xml:space="preserve">ых в соответствии с ним нормативных правовых актов Российской Фе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дерации (далее </w:t>
      </w:r>
      <w:r>
        <w:rPr>
          <w:rFonts w:eastAsia="Times New Roman"/>
          <w:color w:val="000000"/>
          <w:sz w:val="28"/>
          <w:szCs w:val="28"/>
          <w:highlight w:val="white"/>
        </w:rPr>
        <w:noBreakHyphen/>
        <w:t xml:space="preserve"> законодательство о закупках) государственными бюджетными учреждениями Новосибирской области, подведомственными департаменту</w:t>
      </w:r>
      <w:r>
        <w:rPr>
          <w:sz w:val="28"/>
          <w:szCs w:val="28"/>
          <w:highlight w:val="white"/>
        </w:rPr>
        <w:t xml:space="preserve"> и являющимися заказчиками </w:t>
      </w:r>
      <w:r>
        <w:rPr>
          <w:sz w:val="28"/>
          <w:szCs w:val="28"/>
          <w:highlight w:val="white"/>
        </w:rPr>
        <w:t xml:space="preserve">при осуществлении закупок товаров, работ, услуг (далее – бюджетные учреждения).</w:t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 Порядок определяет процедуру проведения департаментом оценки рисков нарушения </w:t>
      </w:r>
      <w:r>
        <w:rPr>
          <w:rFonts w:eastAsia="Times New Roman"/>
          <w:color w:val="000000"/>
          <w:sz w:val="28"/>
          <w:szCs w:val="28"/>
        </w:rPr>
        <w:t xml:space="preserve">требований законодательства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 о закупках</w:t>
      </w:r>
      <w:r>
        <w:rPr>
          <w:sz w:val="28"/>
          <w:szCs w:val="28"/>
          <w:highlight w:val="white"/>
        </w:rPr>
        <w:t xml:space="preserve"> бюджетными </w:t>
      </w:r>
      <w:r>
        <w:rPr>
          <w:sz w:val="28"/>
          <w:szCs w:val="28"/>
        </w:rPr>
        <w:t xml:space="preserve">учреждениями и присвоения им категории риска </w:t>
      </w:r>
      <w:r>
        <w:rPr>
          <w:sz w:val="28"/>
          <w:szCs w:val="28"/>
        </w:rPr>
        <w:t xml:space="preserve">(высокая, средняя, низкая) для формирования годового плана проведения плановых проверок в соответствии с Порядком № 354-п (далее </w:t>
      </w:r>
      <w:r>
        <w:rPr>
          <w:sz w:val="28"/>
          <w:szCs w:val="28"/>
        </w:rPr>
        <w:noBreakHyphen/>
        <w:t xml:space="preserve"> План проверок).</w:t>
      </w:r>
      <w:r>
        <w:rPr>
          <w:sz w:val="28"/>
          <w:szCs w:val="28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3. Проведение оценки рисков нарушения требований законодательства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 xml:space="preserve">о закупках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бюджетными учреждениями и присво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ение бюджетным учреждениям категории риска осуществляется должностным лицом департамента, уполномоченным на проведение проверок соблюдения бюджетными учреждениями требований законодательства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 xml:space="preserve">о закупках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в со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ответствии с Порядком № 354-п, до 1 сентября текущ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его года на основании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следующей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информации, предоставляемой бюджетными учреждениями до 25 августа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текущего года: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1)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 сведения о количестве договоров, заключенных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бюджетным учреждением по результатам закупок;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b w:val="0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2) сведения о совокупном годовом объеме закупок бюджетного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учреждения;</w:t>
      </w:r>
      <w:r>
        <w:rPr>
          <w:rFonts w:ascii="Times New Roman" w:hAnsi="Times New Roman" w:cs="Times New Roman"/>
          <w:b w:val="0"/>
          <w:highlight w:val="white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 сведения о количестве договоров, информация о которых не внесена в реестр договоров, заключенных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бюджетным учреждением в соответствии с частью 3 статьи 4.1 Федерального закона от 18.07.2011 № 223-ФЗ «О закупках товаров, работ, услуг отдельны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ми видами юридических лиц»;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) сведения о доле закупок у единственного поставщика, в том числе по причине несостоявшейся конкурентной процедуры, в совокупном годовом объеме закупок бюджетного учреж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дения.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4. О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ценка рисков нарушения требований законодательства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 xml:space="preserve">о закупках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бюджетными учреждениями проводится по бальной системе исходя из критериев</w:t>
      </w:r>
      <w:r>
        <w:rPr>
          <w:rFonts w:ascii="Times New Roman" w:hAnsi="Times New Roman" w:cs="Times New Roman"/>
          <w:b w:val="0"/>
          <w:sz w:val="28"/>
          <w:szCs w:val="28"/>
          <w:highlight w:val="white"/>
          <w:lang w:eastAsia="zh-CN"/>
        </w:rPr>
        <w:t xml:space="preserve"> отнесения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бюджетного</w:t>
      </w:r>
      <w:r>
        <w:rPr>
          <w:rFonts w:ascii="Times New Roman" w:hAnsi="Times New Roman" w:cs="Times New Roman"/>
          <w:b w:val="0"/>
          <w:sz w:val="28"/>
          <w:szCs w:val="28"/>
          <w:highlight w:val="white"/>
          <w:lang w:eastAsia="zh-CN"/>
        </w:rPr>
        <w:t xml:space="preserve"> учреждения к определенной категории риска (далее </w:t>
      </w:r>
      <w:r>
        <w:rPr>
          <w:rFonts w:ascii="Times New Roman" w:hAnsi="Times New Roman" w:cs="Times New Roman"/>
          <w:b w:val="0"/>
          <w:sz w:val="28"/>
          <w:szCs w:val="28"/>
          <w:highlight w:val="white"/>
          <w:lang w:eastAsia="zh-CN"/>
        </w:rPr>
        <w:noBreakHyphen/>
        <w:t xml:space="preserve"> критерии), предусмотренных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Приложением к настоящ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ему Порядку.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trike/>
          <w:sz w:val="28"/>
          <w:szCs w:val="28"/>
          <w:highlight w:val="white"/>
        </w:rPr>
      </w:pPr>
      <w:r>
        <w:rPr>
          <w:rFonts w:eastAsia="Times New Roman"/>
          <w:sz w:val="28"/>
          <w:szCs w:val="28"/>
          <w:highlight w:val="white"/>
        </w:rPr>
        <w:t xml:space="preserve">5. Для целей отнесения бюджетного</w:t>
      </w:r>
      <w:r>
        <w:rPr>
          <w:sz w:val="28"/>
          <w:szCs w:val="28"/>
          <w:highlight w:val="white"/>
        </w:rPr>
        <w:t xml:space="preserve"> учреждения к категории риска (высокая, средняя, низкая) на основании рассчитанных показателей по каждому критерию присваивается соответствующий балл. </w:t>
      </w:r>
      <w:r>
        <w:rPr>
          <w:strike/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Сумма баллов по каждому критерию составляет итоговый балл </w:t>
      </w:r>
      <w:r>
        <w:rPr>
          <w:sz w:val="28"/>
          <w:szCs w:val="28"/>
          <w:highlight w:val="white"/>
        </w:rPr>
        <w:t xml:space="preserve">бюджетного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учр</w:t>
      </w:r>
      <w:r>
        <w:rPr>
          <w:sz w:val="28"/>
          <w:szCs w:val="28"/>
          <w:highlight w:val="white"/>
        </w:rPr>
        <w:t xml:space="preserve">еждения. </w:t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6. На основании значения итогового балла бюджетному учреждению присваивается категория риска:</w:t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1) категория высокого риска при итоговом балле бюджетного учреждения от 15 и более;</w:t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2) кате</w:t>
      </w:r>
      <w:r>
        <w:rPr>
          <w:sz w:val="28"/>
          <w:szCs w:val="28"/>
          <w:highlight w:val="white"/>
        </w:rPr>
        <w:t xml:space="preserve">гория среднего риска при итоговом балле бюджетного учреждения от 6 до 14;</w:t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3) категория низкого риска при итоговом балле бюджетного учреждения от 1 до 5.</w:t>
      </w:r>
      <w:r>
        <w:rPr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color w:val="22272f"/>
          <w:sz w:val="28"/>
          <w:szCs w:val="28"/>
          <w:highlight w:val="white"/>
        </w:rPr>
      </w:pPr>
      <w:r/>
      <w:bookmarkStart w:id="2" w:name="undefined"/>
      <w:r>
        <w:rPr>
          <w:rFonts w:eastAsia="Times New Roman"/>
          <w:sz w:val="28"/>
          <w:szCs w:val="28"/>
          <w:highlight w:val="white"/>
        </w:rPr>
        <w:t xml:space="preserve">7. 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В План проверок включаются </w:t>
      </w:r>
      <w:r>
        <w:rPr>
          <w:sz w:val="28"/>
          <w:szCs w:val="28"/>
          <w:highlight w:val="white"/>
        </w:rPr>
        <w:t xml:space="preserve">бюджетные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 учреждения, которым присвоена категория высокого и среднего рис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ка. </w:t>
      </w:r>
      <w:r>
        <w:rPr>
          <w:color w:val="22272f"/>
          <w:sz w:val="28"/>
          <w:szCs w:val="28"/>
          <w:highlight w:val="white"/>
        </w:rPr>
      </w:r>
    </w:p>
    <w:p>
      <w:pPr>
        <w:pStyle w:val="883"/>
        <w:tabs>
          <w:tab w:val="left" w:pos="993" w:leader="none"/>
        </w:tabs>
        <w:rPr>
          <w:color w:val="22272f"/>
          <w:sz w:val="28"/>
          <w:szCs w:val="28"/>
          <w:highlight w:val="white"/>
        </w:rPr>
      </w:pP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Бюджетные у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чрежден</w:t>
      </w:r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ия, которым присвоена категория низкого </w:t>
      </w:r>
      <w:bookmarkEnd w:id="2"/>
      <w:r>
        <w:rPr>
          <w:color w:val="22272f"/>
          <w:sz w:val="28"/>
          <w:szCs w:val="28"/>
          <w:highlight w:val="white"/>
          <w:shd w:val="clear" w:color="auto" w:fill="ffffff"/>
        </w:rPr>
        <w:t xml:space="preserve">риска, включаются в План проверок в случае, если с момента проведения последней проверки прошло более двух лет.</w:t>
      </w:r>
      <w:r>
        <w:rPr>
          <w:color w:val="22272f"/>
          <w:sz w:val="28"/>
          <w:szCs w:val="28"/>
          <w:highlight w:val="white"/>
        </w:rPr>
      </w:r>
    </w:p>
    <w:p>
      <w:pPr>
        <w:pStyle w:val="873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</w:r>
    </w:p>
    <w:p>
      <w:pPr>
        <w:pStyle w:val="873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  <w:highlight w:val="yellow"/>
        </w:rPr>
      </w:r>
      <w:r>
        <w:rPr>
          <w:rFonts w:ascii="Times New Roman" w:hAnsi="Times New Roman" w:cs="Times New Roman"/>
          <w:b w:val="0"/>
          <w:sz w:val="28"/>
          <w:szCs w:val="28"/>
          <w:highlight w:val="yellow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5" w:default="1">
    <w:name w:val="Normal"/>
    <w:qFormat/>
    <w:rPr>
      <w:rFonts w:ascii="Times New Roman" w:hAnsi="Times New Roman"/>
      <w:sz w:val="24"/>
      <w:szCs w:val="24"/>
      <w:lang w:eastAsia="ru-RU"/>
    </w:rPr>
  </w:style>
  <w:style w:type="paragraph" w:styleId="676">
    <w:name w:val="Heading 1"/>
    <w:basedOn w:val="675"/>
    <w:next w:val="675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1">
    <w:name w:val="Heading 6"/>
    <w:basedOn w:val="675"/>
    <w:next w:val="675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675"/>
    <w:next w:val="675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675"/>
    <w:next w:val="675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675"/>
    <w:next w:val="675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Heading 1 Char"/>
    <w:basedOn w:val="685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Heading 2 Char"/>
    <w:basedOn w:val="685"/>
    <w:uiPriority w:val="9"/>
    <w:rPr>
      <w:rFonts w:ascii="Arial" w:hAnsi="Arial" w:eastAsia="Arial" w:cs="Arial"/>
      <w:sz w:val="34"/>
    </w:rPr>
  </w:style>
  <w:style w:type="character" w:styleId="690" w:customStyle="1">
    <w:name w:val="Heading 3 Char"/>
    <w:basedOn w:val="685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Heading 4 Char"/>
    <w:basedOn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Heading 5 Char"/>
    <w:basedOn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Heading 6 Char"/>
    <w:basedOn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Heading 7 Char"/>
    <w:basedOn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Heading 8 Char"/>
    <w:basedOn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Heading 9 Char"/>
    <w:basedOn w:val="68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Title Char"/>
    <w:basedOn w:val="685"/>
    <w:uiPriority w:val="10"/>
    <w:rPr>
      <w:sz w:val="48"/>
      <w:szCs w:val="48"/>
    </w:rPr>
  </w:style>
  <w:style w:type="character" w:styleId="698" w:customStyle="1">
    <w:name w:val="Subtitle Char"/>
    <w:basedOn w:val="685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Footnote Text Char"/>
    <w:uiPriority w:val="99"/>
    <w:rPr>
      <w:sz w:val="18"/>
    </w:rPr>
  </w:style>
  <w:style w:type="character" w:styleId="702" w:customStyle="1">
    <w:name w:val="Endnote Text Char"/>
    <w:uiPriority w:val="99"/>
    <w:rPr>
      <w:sz w:val="20"/>
    </w:rPr>
  </w:style>
  <w:style w:type="character" w:styleId="703" w:customStyle="1">
    <w:name w:val="Заголовок 1 Знак"/>
    <w:link w:val="676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Заголовок 2 Знак"/>
    <w:link w:val="677"/>
    <w:uiPriority w:val="9"/>
    <w:rPr>
      <w:rFonts w:ascii="Arial" w:hAnsi="Arial" w:eastAsia="Arial" w:cs="Arial"/>
      <w:sz w:val="34"/>
    </w:rPr>
  </w:style>
  <w:style w:type="character" w:styleId="705" w:customStyle="1">
    <w:name w:val="Заголовок 3 Знак"/>
    <w:link w:val="678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75"/>
    <w:uiPriority w:val="34"/>
    <w:qFormat/>
    <w:pPr>
      <w:contextualSpacing/>
      <w:ind w:left="720"/>
    </w:pPr>
  </w:style>
  <w:style w:type="paragraph" w:styleId="713">
    <w:name w:val="No Spacing"/>
    <w:uiPriority w:val="1"/>
    <w:qFormat/>
  </w:style>
  <w:style w:type="paragraph" w:styleId="714">
    <w:name w:val="Title"/>
    <w:basedOn w:val="675"/>
    <w:next w:val="675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Заголовок Знак"/>
    <w:link w:val="714"/>
    <w:uiPriority w:val="10"/>
    <w:rPr>
      <w:sz w:val="48"/>
      <w:szCs w:val="48"/>
    </w:rPr>
  </w:style>
  <w:style w:type="paragraph" w:styleId="716">
    <w:name w:val="Subtitle"/>
    <w:basedOn w:val="675"/>
    <w:next w:val="675"/>
    <w:link w:val="717"/>
    <w:uiPriority w:val="11"/>
    <w:qFormat/>
    <w:pPr>
      <w:spacing w:before="200" w:after="200"/>
    </w:pPr>
  </w:style>
  <w:style w:type="character" w:styleId="717" w:customStyle="1">
    <w:name w:val="Подзаголовок Знак"/>
    <w:link w:val="716"/>
    <w:uiPriority w:val="11"/>
    <w:rPr>
      <w:sz w:val="24"/>
      <w:szCs w:val="24"/>
    </w:rPr>
  </w:style>
  <w:style w:type="paragraph" w:styleId="718">
    <w:name w:val="Quote"/>
    <w:basedOn w:val="675"/>
    <w:next w:val="675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5"/>
    <w:next w:val="675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>
    <w:name w:val="Header"/>
    <w:basedOn w:val="675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3" w:customStyle="1">
    <w:name w:val="Header Char"/>
    <w:uiPriority w:val="99"/>
  </w:style>
  <w:style w:type="paragraph" w:styleId="724">
    <w:name w:val="Footer"/>
    <w:basedOn w:val="675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5" w:customStyle="1">
    <w:name w:val="Footer Char"/>
    <w:uiPriority w:val="99"/>
  </w:style>
  <w:style w:type="paragraph" w:styleId="72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uiPriority w:val="99"/>
  </w:style>
  <w:style w:type="table" w:styleId="728">
    <w:name w:val="Table Grid"/>
    <w:basedOn w:val="686"/>
    <w:uiPriority w:val="59"/>
    <w:tblPr/>
  </w:style>
  <w:style w:type="table" w:styleId="72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link w:val="882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563c1"/>
      <w:u w:val="single"/>
    </w:rPr>
  </w:style>
  <w:style w:type="paragraph" w:styleId="855">
    <w:name w:val="footnote text"/>
    <w:basedOn w:val="675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75"/>
    <w:link w:val="859"/>
    <w:uiPriority w:val="99"/>
    <w:semiHidden/>
    <w:unhideWhenUsed/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75"/>
    <w:next w:val="675"/>
    <w:uiPriority w:val="39"/>
    <w:unhideWhenUsed/>
    <w:pPr>
      <w:spacing w:after="57"/>
    </w:pPr>
  </w:style>
  <w:style w:type="paragraph" w:styleId="862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63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64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65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66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67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68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69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5"/>
    <w:next w:val="675"/>
    <w:uiPriority w:val="99"/>
    <w:unhideWhenUsed/>
  </w:style>
  <w:style w:type="paragraph" w:styleId="872" w:customStyle="1">
    <w:name w:val="ConsPlusNormal"/>
    <w:pPr>
      <w:widowControl w:val="off"/>
    </w:pPr>
    <w:rPr>
      <w:rFonts w:eastAsia="Times New Roman" w:cs="Calibri"/>
      <w:sz w:val="22"/>
      <w:lang w:eastAsia="ru-RU"/>
    </w:rPr>
  </w:style>
  <w:style w:type="paragraph" w:styleId="873" w:customStyle="1">
    <w:name w:val="ConsPlusTitle"/>
    <w:pPr>
      <w:widowControl w:val="off"/>
    </w:pPr>
    <w:rPr>
      <w:rFonts w:eastAsia="Times New Roman" w:cs="Calibri"/>
      <w:b/>
      <w:sz w:val="22"/>
      <w:lang w:eastAsia="ru-RU"/>
    </w:rPr>
  </w:style>
  <w:style w:type="paragraph" w:styleId="874">
    <w:name w:val="Balloon Text"/>
    <w:basedOn w:val="675"/>
    <w:link w:val="875"/>
    <w:uiPriority w:val="99"/>
    <w:semiHidden/>
    <w:unhideWhenUsed/>
    <w:rPr>
      <w:rFonts w:ascii="Tahoma" w:hAnsi="Tahoma" w:cs="Tahoma"/>
      <w:sz w:val="16"/>
      <w:szCs w:val="16"/>
    </w:rPr>
  </w:style>
  <w:style w:type="character" w:styleId="875" w:customStyle="1">
    <w:name w:val="Текст выноски Знак"/>
    <w:link w:val="874"/>
    <w:uiPriority w:val="99"/>
    <w:semiHidden/>
    <w:rPr>
      <w:rFonts w:ascii="Tahoma" w:hAnsi="Tahoma" w:cs="Tahoma"/>
      <w:sz w:val="16"/>
      <w:szCs w:val="16"/>
    </w:rPr>
  </w:style>
  <w:style w:type="paragraph" w:styleId="876" w:customStyle="1">
    <w:name w:val="ConsPlusNonformat"/>
    <w:pPr>
      <w:widowControl w:val="off"/>
    </w:pPr>
    <w:rPr>
      <w:rFonts w:ascii="Courier New" w:hAnsi="Courier New" w:eastAsia="Times New Roman" w:cs="Courier New"/>
      <w:lang w:eastAsia="ru-RU"/>
    </w:rPr>
  </w:style>
  <w:style w:type="character" w:styleId="877" w:customStyle="1">
    <w:name w:val="Верхний колонтитул Знак"/>
    <w:link w:val="722"/>
    <w:uiPriority w:val="99"/>
    <w:rPr>
      <w:sz w:val="22"/>
      <w:szCs w:val="22"/>
      <w:lang w:eastAsia="en-US"/>
    </w:rPr>
  </w:style>
  <w:style w:type="character" w:styleId="878" w:customStyle="1">
    <w:name w:val="Нижний колонтитул Знак"/>
    <w:link w:val="724"/>
    <w:uiPriority w:val="99"/>
    <w:rPr>
      <w:sz w:val="22"/>
      <w:szCs w:val="22"/>
      <w:lang w:eastAsia="en-US"/>
    </w:rPr>
  </w:style>
  <w:style w:type="character" w:styleId="879" w:customStyle="1">
    <w:name w:val="search_result"/>
  </w:style>
  <w:style w:type="paragraph" w:styleId="880">
    <w:name w:val="Normal (Web)"/>
    <w:basedOn w:val="675"/>
    <w:uiPriority w:val="99"/>
    <w:unhideWhenUsed/>
    <w:pPr>
      <w:spacing w:before="100" w:beforeAutospacing="1" w:after="100" w:afterAutospacing="1"/>
    </w:pPr>
  </w:style>
  <w:style w:type="paragraph" w:styleId="881" w:customStyle="1">
    <w:name w:val="Стиль1"/>
    <w:basedOn w:val="858"/>
    <w:pPr>
      <w:ind w:firstLine="567"/>
      <w:jc w:val="both"/>
      <w:spacing w:line="36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sz w:val="24"/>
      <w:szCs w:val="20"/>
    </w:rPr>
  </w:style>
  <w:style w:type="paragraph" w:styleId="882" w:customStyle="1">
    <w:name w:val="Без интервала1"/>
    <w:next w:val="868"/>
    <w:link w:val="852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lang w:eastAsia="ru-RU"/>
    </w:rPr>
  </w:style>
  <w:style w:type="paragraph" w:styleId="883" w:customStyle="1">
    <w:name w:val="обычный текст"/>
    <w:qFormat/>
    <w:pPr>
      <w:ind w:firstLine="709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Богомолова Инна Васильевна</dc:creator>
  <cp:revision>3</cp:revision>
  <dcterms:created xsi:type="dcterms:W3CDTF">2025-07-08T07:10:00Z</dcterms:created>
  <dcterms:modified xsi:type="dcterms:W3CDTF">2025-07-08T07:17:50Z</dcterms:modified>
  <cp:version>1048576</cp:version>
</cp:coreProperties>
</file>