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widowControl w:val="off"/>
        <w:rPr>
          <w:rFonts w:eastAsia="Times New Roman"/>
          <w:sz w:val="28"/>
          <w:szCs w:val="28"/>
          <w:lang w:val="en-US"/>
        </w:rPr>
        <w:outlineLvl w:val="0"/>
      </w:pPr>
      <w:r/>
      <w:bookmarkStart w:id="0" w:name="_GoBack"/>
      <w:r/>
      <w:bookmarkEnd w:id="0"/>
      <w:r>
        <w:rPr>
          <w:rFonts w:eastAsia="Times New Roman"/>
          <w:sz w:val="28"/>
          <w:szCs w:val="28"/>
          <w:lang w:val="en-US"/>
        </w:rPr>
      </w:r>
      <w:r>
        <w:rPr>
          <w:rFonts w:eastAsia="Times New Roman"/>
          <w:sz w:val="28"/>
          <w:szCs w:val="28"/>
          <w:lang w:val="en-US"/>
        </w:rPr>
      </w:r>
    </w:p>
    <w:p>
      <w:pPr>
        <w:jc w:val="right"/>
        <w:widowControl w:val="off"/>
        <w:rPr>
          <w:rFonts w:eastAsia="Times New Roman"/>
          <w:sz w:val="28"/>
          <w:szCs w:val="28"/>
          <w:highlight w:val="white"/>
        </w:rPr>
        <w:outlineLvl w:val="0"/>
      </w:pPr>
      <w:r>
        <w:rPr>
          <w:rFonts w:eastAsia="Times New Roman"/>
          <w:sz w:val="28"/>
          <w:szCs w:val="28"/>
          <w:highlight w:val="white"/>
        </w:rPr>
        <w:t xml:space="preserve">ПРИЛОЖЕНИЕ</w:t>
      </w:r>
      <w:r>
        <w:rPr>
          <w:rFonts w:eastAsia="Times New Roman"/>
          <w:sz w:val="28"/>
          <w:szCs w:val="28"/>
          <w:highlight w:val="white"/>
        </w:rPr>
      </w:r>
      <w:r>
        <w:rPr>
          <w:rFonts w:eastAsia="Times New Roman"/>
          <w:sz w:val="28"/>
          <w:szCs w:val="28"/>
          <w:highlight w:val="white"/>
        </w:rPr>
      </w:r>
    </w:p>
    <w:p>
      <w:pPr>
        <w:jc w:val="right"/>
        <w:widowControl w:val="off"/>
        <w:rPr>
          <w:rFonts w:eastAsia="Times New Roman"/>
          <w:sz w:val="28"/>
          <w:szCs w:val="28"/>
          <w:highlight w:val="white"/>
        </w:rPr>
      </w:pPr>
      <w:r>
        <w:rPr>
          <w:rFonts w:eastAsia="Times New Roman"/>
          <w:sz w:val="28"/>
          <w:szCs w:val="28"/>
          <w:highlight w:val="white"/>
        </w:rPr>
        <w:t xml:space="preserve">к приказу департамента</w:t>
      </w:r>
      <w:r>
        <w:rPr>
          <w:rFonts w:eastAsia="Times New Roman"/>
          <w:sz w:val="28"/>
          <w:szCs w:val="28"/>
          <w:highlight w:val="white"/>
        </w:rPr>
      </w:r>
      <w:r>
        <w:rPr>
          <w:rFonts w:eastAsia="Times New Roman"/>
          <w:sz w:val="28"/>
          <w:szCs w:val="28"/>
          <w:highlight w:val="white"/>
        </w:rPr>
      </w:r>
    </w:p>
    <w:p>
      <w:pPr>
        <w:jc w:val="right"/>
        <w:widowControl w:val="off"/>
        <w:rPr>
          <w:rFonts w:eastAsia="Times New Roman"/>
          <w:sz w:val="28"/>
          <w:szCs w:val="28"/>
          <w:highlight w:val="white"/>
        </w:rPr>
      </w:pPr>
      <w:r>
        <w:rPr>
          <w:rFonts w:eastAsia="Times New Roman"/>
          <w:sz w:val="28"/>
          <w:szCs w:val="28"/>
          <w:highlight w:val="white"/>
        </w:rPr>
        <w:t xml:space="preserve">имущества и земельных отношений</w:t>
      </w:r>
      <w:r>
        <w:rPr>
          <w:rFonts w:eastAsia="Times New Roman"/>
          <w:sz w:val="28"/>
          <w:szCs w:val="28"/>
          <w:highlight w:val="white"/>
        </w:rPr>
      </w:r>
      <w:r>
        <w:rPr>
          <w:rFonts w:eastAsia="Times New Roman"/>
          <w:sz w:val="28"/>
          <w:szCs w:val="28"/>
          <w:highlight w:val="white"/>
        </w:rPr>
      </w:r>
    </w:p>
    <w:p>
      <w:pPr>
        <w:jc w:val="righ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highlight w:val="white"/>
        </w:rPr>
        <w:t xml:space="preserve">Новосибирской </w:t>
      </w:r>
      <w:r>
        <w:rPr>
          <w:rFonts w:eastAsia="Times New Roman"/>
          <w:sz w:val="28"/>
          <w:szCs w:val="28"/>
        </w:rPr>
        <w:t xml:space="preserve">области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righ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от ____________ № _________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widowControl w:val="off"/>
        <w:rPr>
          <w:rFonts w:eastAsia="Times New Roman"/>
          <w:sz w:val="28"/>
          <w:szCs w:val="28"/>
        </w:rPr>
      </w:pPr>
      <w:r/>
      <w:bookmarkStart w:id="1" w:name="P29"/>
      <w:r/>
      <w:bookmarkEnd w:id="1"/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pStyle w:val="875"/>
        <w:ind w:left="5670"/>
        <w:jc w:val="center"/>
        <w:tabs>
          <w:tab w:val="left" w:pos="1020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ПОРЯДОК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проведения </w:t>
      </w:r>
      <w:r>
        <w:rPr>
          <w:b/>
          <w:bCs/>
          <w:sz w:val="28"/>
          <w:szCs w:val="28"/>
        </w:rPr>
        <w:t xml:space="preserve">оценки рисков нарушения </w:t>
      </w:r>
      <w:r>
        <w:rPr>
          <w:rFonts w:eastAsia="Times New Roman"/>
          <w:b/>
          <w:bCs/>
          <w:color w:val="000000"/>
          <w:sz w:val="28"/>
          <w:szCs w:val="28"/>
        </w:rPr>
        <w:t xml:space="preserve">законодательства Российской Федерации и иных нормативных правовых актов о контрактной системе в сфере закупок государственными учреждениями Новосибирской области, подведомственными департаменту имущества и земельных отношений Новосибирской области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8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1. Порядок проведения оценки рисков нарушения</w:t>
      </w:r>
      <w:r>
        <w:rPr>
          <w:b/>
          <w:bCs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законодательства Российской Федерации и иных нормативных правовых актов о контрактной системе в сфере закупок государственными учреждениями Новосибирской области, подведомственными департаменту имущества и земельных отношений  Новосибирской области</w:t>
      </w:r>
      <w:r>
        <w:rPr>
          <w:sz w:val="28"/>
          <w:szCs w:val="28"/>
        </w:rPr>
        <w:t xml:space="preserve"> (далее – Порядок</w:t>
      </w:r>
      <w:r>
        <w:rPr>
          <w:sz w:val="28"/>
          <w:szCs w:val="28"/>
          <w:highlight w:val="white"/>
        </w:rPr>
        <w:t xml:space="preserve">), р</w:t>
      </w:r>
      <w:r>
        <w:rPr>
          <w:sz w:val="28"/>
          <w:szCs w:val="28"/>
        </w:rPr>
        <w:t xml:space="preserve">азработан в соответствии с пунктом 8 Порядка </w:t>
      </w:r>
      <w:r>
        <w:rPr>
          <w:rFonts w:eastAsia="Times New Roman"/>
          <w:color w:val="000000"/>
          <w:sz w:val="28"/>
          <w:szCs w:val="28"/>
        </w:rPr>
        <w:t xml:space="preserve">осущест</w:t>
      </w:r>
      <w:r>
        <w:rPr>
          <w:rFonts w:eastAsia="Times New Roman"/>
          <w:color w:val="000000"/>
          <w:sz w:val="28"/>
          <w:szCs w:val="28"/>
        </w:rPr>
        <w:t xml:space="preserve">вления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государственными органами в отношении подведомственных им заказчиков, установленного постановлением </w:t>
      </w:r>
      <w:r>
        <w:rPr>
          <w:rFonts w:eastAsia="Times New Roman"/>
          <w:color w:val="000000"/>
          <w:sz w:val="28"/>
          <w:szCs w:val="28"/>
          <w:highlight w:val="white"/>
        </w:rPr>
        <w:t xml:space="preserve">Правительства Новосибирской области от 16.12.2019 № 476-п</w:t>
      </w:r>
      <w:r>
        <w:rPr>
          <w:sz w:val="28"/>
          <w:szCs w:val="28"/>
          <w:highlight w:val="white"/>
        </w:rPr>
        <w:t xml:space="preserve"> (далее – Порядок № 476-п), в целях применения риск-ориентированного подхода при осуществлении департаментом имущества и земельных отношений Новосибирской области (далее </w:t>
      </w:r>
      <w:r>
        <w:rPr>
          <w:sz w:val="28"/>
          <w:szCs w:val="28"/>
          <w:highlight w:val="white"/>
        </w:rPr>
        <w:noBreakHyphen/>
        <w:t xml:space="preserve"> департамент) ведомственного контроля за соблюдением з</w:t>
      </w:r>
      <w:r>
        <w:rPr>
          <w:rFonts w:eastAsia="Times New Roman"/>
          <w:color w:val="000000"/>
          <w:sz w:val="28"/>
          <w:szCs w:val="28"/>
          <w:highlight w:val="white"/>
        </w:rPr>
        <w:t xml:space="preserve">аконодательства Российской Федерации и иных нормативных правовых актов о контрактной системе в сфере закупок (далее - </w:t>
      </w:r>
      <w:r>
        <w:rPr>
          <w:sz w:val="28"/>
          <w:szCs w:val="28"/>
          <w:highlight w:val="white"/>
          <w:lang w:eastAsia="zh-CN"/>
        </w:rPr>
        <w:t xml:space="preserve">законодательство в сфере закупок) </w:t>
      </w:r>
      <w:r>
        <w:rPr>
          <w:rFonts w:eastAsia="Times New Roman"/>
          <w:color w:val="000000"/>
          <w:sz w:val="28"/>
          <w:szCs w:val="28"/>
          <w:highlight w:val="white"/>
        </w:rPr>
        <w:t xml:space="preserve">государственными учреждениями Новосибирской области, подведомственными департаменту и являющимися заказчиками</w:t>
      </w:r>
      <w:r>
        <w:rPr>
          <w:sz w:val="28"/>
          <w:szCs w:val="28"/>
          <w:highlight w:val="white"/>
        </w:rPr>
        <w:t xml:space="preserve"> при </w:t>
      </w:r>
      <w:r>
        <w:rPr>
          <w:sz w:val="28"/>
          <w:szCs w:val="28"/>
          <w:highlight w:val="white"/>
          <w:lang w:eastAsia="zh-CN"/>
        </w:rPr>
        <w:t xml:space="preserve">осуществлении закупок товаров, работ, услуг для государственных нужд </w:t>
      </w:r>
      <w:r>
        <w:rPr>
          <w:sz w:val="28"/>
          <w:szCs w:val="28"/>
          <w:highlight w:val="white"/>
        </w:rPr>
        <w:t xml:space="preserve">(далее – учреждения).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76"/>
        <w:tabs>
          <w:tab w:val="left" w:pos="993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 Порядок определяет процедуру проведения департаментом оценки рисков нарушения </w:t>
      </w:r>
      <w:r>
        <w:rPr>
          <w:rFonts w:eastAsia="Times New Roman"/>
          <w:color w:val="000000"/>
          <w:sz w:val="28"/>
          <w:szCs w:val="28"/>
        </w:rPr>
        <w:t xml:space="preserve">законодательства в сфере закупок</w:t>
      </w:r>
      <w:r>
        <w:rPr>
          <w:sz w:val="28"/>
          <w:szCs w:val="28"/>
        </w:rPr>
        <w:t xml:space="preserve"> учреждениями </w:t>
      </w:r>
      <w:r>
        <w:rPr>
          <w:sz w:val="28"/>
          <w:szCs w:val="28"/>
          <w:highlight w:val="white"/>
        </w:rPr>
        <w:t xml:space="preserve">и присвоения им категории риска (высокая, средняя, низкая) для формирования годового плана проведения плановых проверок в соответствии с Порядком № 476-п (далее – План проверок).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6"/>
        <w:ind w:firstLine="708"/>
        <w:jc w:val="both"/>
        <w:rPr>
          <w:rFonts w:ascii="Times New Roman" w:hAnsi="Times New Roman" w:cs="Times New Roman"/>
          <w:b w:val="0"/>
          <w:sz w:val="28"/>
          <w:szCs w:val="28"/>
          <w:highlight w:val="white"/>
        </w:rPr>
        <w:outlineLvl w:val="1"/>
      </w:pP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3. Проведение оценки рисков нарушения 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highlight w:val="white"/>
        </w:rPr>
        <w:t xml:space="preserve">законодательства в сфере закупок</w:t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 учреждениями и присвоение учреждениям категории риска осуществляется должностным лицом департамента, уполномоченным на проведение проверок соблюдения учреждениями требований 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highlight w:val="white"/>
        </w:rPr>
        <w:t xml:space="preserve">законодательства в сфере закупок</w:t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 в </w:t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соответствии с Порядком № 476-п, до 1 сентября текущего года на основании </w:t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следующей</w:t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информации, предоставляемой учреждениями до 25 августа текущего года</w:t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</w:r>
    </w:p>
    <w:p>
      <w:pPr>
        <w:pStyle w:val="866"/>
        <w:ind w:firstLine="708"/>
        <w:jc w:val="both"/>
        <w:rPr>
          <w:rFonts w:ascii="Times New Roman" w:hAnsi="Times New Roman" w:cs="Times New Roman"/>
          <w:b w:val="0"/>
          <w:sz w:val="28"/>
          <w:szCs w:val="28"/>
          <w:highlight w:val="white"/>
        </w:rPr>
        <w:outlineLvl w:val="1"/>
      </w:pP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1)</w:t>
      </w:r>
      <w:r>
        <w:rPr>
          <w:b w:val="0"/>
          <w:sz w:val="24"/>
          <w:szCs w:val="24"/>
          <w:highlight w:val="white"/>
        </w:rPr>
        <w:t xml:space="preserve"> </w:t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сведения о количестве контрактов, заключенных учреждением по результатам закупок;</w:t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</w:r>
    </w:p>
    <w:p>
      <w:pPr>
        <w:ind w:left="142" w:firstLine="566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2) сведения </w:t>
      </w:r>
      <w:r>
        <w:rPr>
          <w:rFonts w:eastAsia="Times New Roman"/>
          <w:sz w:val="28"/>
          <w:szCs w:val="28"/>
          <w:highlight w:val="white"/>
        </w:rPr>
        <w:t xml:space="preserve">о совокупном годовом объеме закупок </w:t>
      </w:r>
      <w:r>
        <w:rPr>
          <w:sz w:val="28"/>
          <w:szCs w:val="28"/>
          <w:highlight w:val="white"/>
        </w:rPr>
        <w:t xml:space="preserve">учреждения;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 с</w:t>
      </w:r>
      <w:r>
        <w:rPr>
          <w:sz w:val="28"/>
          <w:szCs w:val="28"/>
          <w:highlight w:val="white"/>
        </w:rPr>
        <w:t xml:space="preserve">ведения о доле закупок у субъектов малого предпринимательства, социально ориентированных некоммерческих организаций в совокупном годовом объеме закупок</w:t>
      </w:r>
      <w:r>
        <w:rPr>
          <w:sz w:val="28"/>
          <w:szCs w:val="28"/>
        </w:rPr>
        <w:t xml:space="preserve"> учреждения;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  <w:highlight w:val="white"/>
        </w:rPr>
      </w:pPr>
      <w:r>
        <w:rPr>
          <w:rFonts w:eastAsia="Times New Roman"/>
          <w:sz w:val="28"/>
          <w:szCs w:val="28"/>
        </w:rPr>
        <w:t xml:space="preserve">4) сведения о д</w:t>
      </w:r>
      <w:r>
        <w:rPr>
          <w:rFonts w:eastAsia="Times New Roman"/>
          <w:sz w:val="28"/>
          <w:szCs w:val="28"/>
          <w:highlight w:val="white"/>
        </w:rPr>
        <w:t xml:space="preserve">оле закупок у единственного поставщика, в том числе по причине несостоявшейся конкурентной процедуры или на основании </w:t>
      </w:r>
      <w:hyperlink r:id="rId10" w:tooltip="Федеральный закон от 05.04.2013 N 44-ФЗ (ред. от 22.06.2024) &quot;О контрактной системе в сфере закупок товаров, работ, услуг для обеспечения государственных и муниципальных нужд&quot; {КонсультантПлюс}" w:history="1">
        <w:r>
          <w:rPr>
            <w:rFonts w:eastAsia="Times New Roman"/>
            <w:sz w:val="28"/>
            <w:szCs w:val="28"/>
            <w:highlight w:val="white"/>
          </w:rPr>
          <w:t xml:space="preserve">пунктов 2</w:t>
        </w:r>
      </w:hyperlink>
      <w:r>
        <w:rPr>
          <w:rFonts w:eastAsia="Times New Roman"/>
          <w:sz w:val="28"/>
          <w:szCs w:val="28"/>
          <w:highlight w:val="white"/>
        </w:rPr>
        <w:t xml:space="preserve">,</w:t>
      </w:r>
      <w:r>
        <w:rPr>
          <w:rFonts w:eastAsia="Times New Roman"/>
          <w:sz w:val="28"/>
          <w:szCs w:val="28"/>
        </w:rPr>
        <w:t xml:space="preserve"> </w:t>
      </w:r>
      <w:hyperlink r:id="rId11" w:tooltip="Федеральный закон от 05.04.2013 N 44-ФЗ (ред. от 22.06.2024) &quot;О контрактной системе в сфере закупок товаров, работ, услуг для обеспечения государственных и муниципальных нужд&quot; {КонсультантПлюс}" w:history="1">
        <w:r>
          <w:rPr>
            <w:rFonts w:eastAsia="Times New Roman"/>
            <w:sz w:val="28"/>
            <w:szCs w:val="28"/>
            <w:highlight w:val="white"/>
          </w:rPr>
          <w:t xml:space="preserve">9 части 1 статьи 93</w:t>
        </w:r>
      </w:hyperlink>
      <w:r>
        <w:rPr>
          <w:rFonts w:eastAsia="Times New Roman"/>
          <w:sz w:val="28"/>
          <w:szCs w:val="28"/>
          <w:highlight w:val="white"/>
        </w:rPr>
        <w:t xml:space="preserve"> Федерального закона от 05.04.2013 № 44-ФЗ </w:t>
      </w:r>
      <w:r>
        <w:rPr>
          <w:sz w:val="28"/>
          <w:szCs w:val="28"/>
          <w:highlight w:val="white"/>
        </w:rPr>
        <w:t xml:space="preserve">«О контрактной системе в сфере закупок товаров, работ, услуг для обеспечения государственных и муниципальных нужд»,</w:t>
      </w:r>
      <w:r>
        <w:rPr>
          <w:sz w:val="28"/>
          <w:szCs w:val="28"/>
          <w:highlight w:val="white"/>
          <w:lang w:eastAsia="zh-CN"/>
        </w:rPr>
        <w:t xml:space="preserve"> в совокупном годовом объеме закупок учреждения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42" w:firstLine="566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4. Оценка рисков нарушения </w:t>
      </w:r>
      <w:r>
        <w:rPr>
          <w:rFonts w:eastAsia="Times New Roman"/>
          <w:color w:val="000000"/>
          <w:sz w:val="28"/>
          <w:szCs w:val="28"/>
          <w:highlight w:val="white"/>
        </w:rPr>
        <w:t xml:space="preserve">законодательства в сфере закупок</w:t>
      </w:r>
      <w:r>
        <w:rPr>
          <w:sz w:val="28"/>
          <w:szCs w:val="28"/>
          <w:highlight w:val="white"/>
        </w:rPr>
        <w:t xml:space="preserve"> учреждениями проводится по бальной системе исходя из критериев</w:t>
      </w:r>
      <w:r>
        <w:rPr>
          <w:sz w:val="28"/>
          <w:szCs w:val="28"/>
          <w:highlight w:val="white"/>
          <w:lang w:eastAsia="zh-CN"/>
        </w:rPr>
        <w:t xml:space="preserve"> отнесения учреждения к определенной категории риска (далее </w:t>
      </w:r>
      <w:r>
        <w:rPr>
          <w:sz w:val="28"/>
          <w:szCs w:val="28"/>
          <w:highlight w:val="white"/>
          <w:lang w:eastAsia="zh-CN"/>
        </w:rPr>
        <w:noBreakHyphen/>
        <w:t xml:space="preserve"> критерии),</w:t>
      </w:r>
      <w:r>
        <w:rPr>
          <w:strike/>
          <w:sz w:val="28"/>
          <w:szCs w:val="28"/>
          <w:highlight w:val="white"/>
          <w:lang w:eastAsia="zh-CN"/>
        </w:rPr>
        <w:t xml:space="preserve"> </w:t>
      </w:r>
      <w:r>
        <w:rPr>
          <w:sz w:val="28"/>
          <w:szCs w:val="28"/>
          <w:highlight w:val="white"/>
          <w:lang w:eastAsia="zh-CN"/>
        </w:rPr>
        <w:t xml:space="preserve">предусмотренных Приложением к настоящему Порядку.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76"/>
        <w:tabs>
          <w:tab w:val="left" w:pos="993" w:leader="none"/>
        </w:tabs>
        <w:rPr>
          <w:strike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5. Для целей отнесения учреждения к категории риска (высокая, средняя, низкая) на основании рассчитанных показателей по каждому критерию присваивается соответствующий балл. </w:t>
      </w:r>
      <w:r>
        <w:rPr>
          <w:strike/>
          <w:sz w:val="28"/>
          <w:szCs w:val="28"/>
          <w:highlight w:val="white"/>
        </w:rPr>
      </w:r>
      <w:r>
        <w:rPr>
          <w:strike/>
          <w:sz w:val="28"/>
          <w:szCs w:val="28"/>
          <w:highlight w:val="white"/>
        </w:rPr>
      </w:r>
    </w:p>
    <w:p>
      <w:pPr>
        <w:pStyle w:val="876"/>
        <w:tabs>
          <w:tab w:val="left" w:pos="993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Сумма баллов по каждому критерию составляет итоговый балл учреждения.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76"/>
        <w:tabs>
          <w:tab w:val="left" w:pos="993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6. На основании значения итогового балла учреждению присваивается категория риска: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76"/>
        <w:tabs>
          <w:tab w:val="left" w:pos="993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1) категория высокого риска при итоговом балле учреждения от 15 и более;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76"/>
        <w:tabs>
          <w:tab w:val="left" w:pos="993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2) категория среднего риска при итоговом балле учреждения от 6 до 14;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76"/>
        <w:tabs>
          <w:tab w:val="left" w:pos="993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3) категория низкого риска при итоговом балле учреждения от 1 до 5.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76"/>
        <w:tabs>
          <w:tab w:val="left" w:pos="993" w:leader="none"/>
        </w:tabs>
        <w:rPr>
          <w:color w:val="22272f"/>
          <w:sz w:val="28"/>
          <w:szCs w:val="28"/>
          <w:highlight w:val="white"/>
        </w:rPr>
      </w:pPr>
      <w:r/>
      <w:bookmarkStart w:id="2" w:name="undefined"/>
      <w:r>
        <w:rPr>
          <w:rFonts w:eastAsia="Times New Roman"/>
          <w:sz w:val="28"/>
          <w:szCs w:val="28"/>
          <w:highlight w:val="white"/>
        </w:rPr>
        <w:t xml:space="preserve">7. </w:t>
      </w:r>
      <w:r>
        <w:rPr>
          <w:color w:val="22272f"/>
          <w:sz w:val="28"/>
          <w:szCs w:val="28"/>
          <w:highlight w:val="white"/>
          <w:shd w:val="clear" w:color="auto" w:fill="ffffff"/>
        </w:rPr>
        <w:t xml:space="preserve">В План проверок включаются учреждения, которым присвоена категория высокого и среднего риска. </w:t>
      </w:r>
      <w:r>
        <w:rPr>
          <w:color w:val="22272f"/>
          <w:sz w:val="28"/>
          <w:szCs w:val="28"/>
          <w:highlight w:val="white"/>
        </w:rPr>
      </w:r>
      <w:r>
        <w:rPr>
          <w:color w:val="22272f"/>
          <w:sz w:val="28"/>
          <w:szCs w:val="28"/>
          <w:highlight w:val="white"/>
        </w:rPr>
      </w:r>
    </w:p>
    <w:p>
      <w:pPr>
        <w:pStyle w:val="876"/>
        <w:tabs>
          <w:tab w:val="left" w:pos="993" w:leader="none"/>
        </w:tabs>
        <w:rPr>
          <w:color w:val="22272f"/>
          <w:sz w:val="28"/>
          <w:szCs w:val="28"/>
          <w:highlight w:val="white"/>
        </w:rPr>
      </w:pPr>
      <w:r>
        <w:rPr>
          <w:color w:val="22272f"/>
          <w:sz w:val="28"/>
          <w:szCs w:val="28"/>
          <w:highlight w:val="white"/>
          <w:shd w:val="clear" w:color="auto" w:fill="ffffff"/>
        </w:rPr>
        <w:t xml:space="preserve">Учреждения, которым присвоена категория низкого </w:t>
      </w:r>
      <w:bookmarkEnd w:id="2"/>
      <w:r>
        <w:rPr>
          <w:color w:val="22272f"/>
          <w:sz w:val="28"/>
          <w:szCs w:val="28"/>
          <w:highlight w:val="white"/>
          <w:shd w:val="clear" w:color="auto" w:fill="ffffff"/>
        </w:rPr>
        <w:t xml:space="preserve">риска, включаются в План проверок в случае, если с момента проведения последней проверки прошло более двух лет.</w:t>
      </w:r>
      <w:r>
        <w:rPr>
          <w:color w:val="22272f"/>
          <w:sz w:val="28"/>
          <w:szCs w:val="28"/>
          <w:highlight w:val="white"/>
        </w:rPr>
      </w:r>
      <w:r>
        <w:rPr>
          <w:color w:val="22272f"/>
          <w:sz w:val="28"/>
          <w:szCs w:val="28"/>
          <w:highlight w:val="white"/>
        </w:rPr>
      </w:r>
    </w:p>
    <w:p>
      <w:pPr>
        <w:pStyle w:val="866"/>
        <w:jc w:val="both"/>
        <w:rPr>
          <w:rFonts w:ascii="Times New Roman" w:hAnsi="Times New Roman" w:cs="Times New Roman"/>
          <w:b w:val="0"/>
          <w:sz w:val="28"/>
          <w:szCs w:val="28"/>
          <w:highlight w:val="white"/>
        </w:rPr>
        <w:outlineLvl w:val="1"/>
      </w:pPr>
      <w:r>
        <w:rPr>
          <w:rFonts w:ascii="Times New Roman" w:hAnsi="Times New Roman" w:cs="Times New Roman"/>
          <w:b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</w:r>
    </w:p>
    <w:p>
      <w:pPr>
        <w:pStyle w:val="866"/>
        <w:jc w:val="both"/>
        <w:rPr>
          <w:rFonts w:ascii="Times New Roman" w:hAnsi="Times New Roman" w:cs="Times New Roman"/>
          <w:b w:val="0"/>
          <w:sz w:val="28"/>
          <w:szCs w:val="28"/>
          <w:highlight w:val="yellow"/>
        </w:rPr>
        <w:outlineLvl w:val="1"/>
      </w:pPr>
      <w:r>
        <w:rPr>
          <w:rFonts w:ascii="Times New Roman" w:hAnsi="Times New Roman" w:cs="Times New Roman"/>
          <w:b w:val="0"/>
          <w:sz w:val="28"/>
          <w:szCs w:val="28"/>
          <w:highlight w:val="yellow"/>
        </w:rPr>
      </w:r>
      <w:r>
        <w:rPr>
          <w:rFonts w:ascii="Times New Roman" w:hAnsi="Times New Roman" w:cs="Times New Roman"/>
          <w:b w:val="0"/>
          <w:sz w:val="28"/>
          <w:szCs w:val="28"/>
          <w:highlight w:val="yellow"/>
        </w:rPr>
      </w:r>
      <w:r>
        <w:rPr>
          <w:rFonts w:ascii="Times New Roman" w:hAnsi="Times New Roman" w:cs="Times New Roman"/>
          <w:b w:val="0"/>
          <w:sz w:val="28"/>
          <w:szCs w:val="28"/>
          <w:highlight w:val="yellow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567" w:bottom="993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8" w:default="1">
    <w:name w:val="Normal"/>
    <w:qFormat/>
    <w:rPr>
      <w:rFonts w:ascii="Times New Roman" w:hAnsi="Times New Roman"/>
      <w:sz w:val="24"/>
      <w:szCs w:val="24"/>
      <w:lang w:eastAsia="ru-RU"/>
    </w:rPr>
  </w:style>
  <w:style w:type="paragraph" w:styleId="669">
    <w:name w:val="Heading 1"/>
    <w:basedOn w:val="668"/>
    <w:next w:val="668"/>
    <w:link w:val="69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0">
    <w:name w:val="Heading 2"/>
    <w:basedOn w:val="668"/>
    <w:next w:val="668"/>
    <w:link w:val="6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1">
    <w:name w:val="Heading 3"/>
    <w:basedOn w:val="668"/>
    <w:next w:val="668"/>
    <w:link w:val="69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2">
    <w:name w:val="Heading 4"/>
    <w:basedOn w:val="668"/>
    <w:next w:val="668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3">
    <w:name w:val="Heading 5"/>
    <w:basedOn w:val="668"/>
    <w:next w:val="668"/>
    <w:link w:val="70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74">
    <w:name w:val="Heading 6"/>
    <w:basedOn w:val="668"/>
    <w:next w:val="668"/>
    <w:link w:val="7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75">
    <w:name w:val="Heading 7"/>
    <w:basedOn w:val="668"/>
    <w:next w:val="668"/>
    <w:link w:val="70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76">
    <w:name w:val="Heading 8"/>
    <w:basedOn w:val="668"/>
    <w:next w:val="668"/>
    <w:link w:val="70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77">
    <w:name w:val="Heading 9"/>
    <w:basedOn w:val="668"/>
    <w:next w:val="668"/>
    <w:link w:val="70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8" w:default="1">
    <w:name w:val="Default Paragraph Font"/>
    <w:uiPriority w:val="1"/>
    <w:semiHidden/>
    <w:unhideWhenUsed/>
  </w:style>
  <w:style w:type="table" w:styleId="67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0" w:default="1">
    <w:name w:val="No List"/>
    <w:uiPriority w:val="99"/>
    <w:semiHidden/>
    <w:unhideWhenUsed/>
  </w:style>
  <w:style w:type="character" w:styleId="681" w:customStyle="1">
    <w:name w:val="Heading 1 Char"/>
    <w:basedOn w:val="678"/>
    <w:uiPriority w:val="9"/>
    <w:rPr>
      <w:rFonts w:ascii="Arial" w:hAnsi="Arial" w:eastAsia="Arial" w:cs="Arial"/>
      <w:sz w:val="40"/>
      <w:szCs w:val="40"/>
    </w:rPr>
  </w:style>
  <w:style w:type="character" w:styleId="682" w:customStyle="1">
    <w:name w:val="Heading 2 Char"/>
    <w:basedOn w:val="678"/>
    <w:uiPriority w:val="9"/>
    <w:rPr>
      <w:rFonts w:ascii="Arial" w:hAnsi="Arial" w:eastAsia="Arial" w:cs="Arial"/>
      <w:sz w:val="34"/>
    </w:rPr>
  </w:style>
  <w:style w:type="character" w:styleId="683" w:customStyle="1">
    <w:name w:val="Heading 3 Char"/>
    <w:basedOn w:val="678"/>
    <w:uiPriority w:val="9"/>
    <w:rPr>
      <w:rFonts w:ascii="Arial" w:hAnsi="Arial" w:eastAsia="Arial" w:cs="Arial"/>
      <w:sz w:val="30"/>
      <w:szCs w:val="30"/>
    </w:rPr>
  </w:style>
  <w:style w:type="character" w:styleId="684" w:customStyle="1">
    <w:name w:val="Heading 4 Char"/>
    <w:basedOn w:val="678"/>
    <w:uiPriority w:val="9"/>
    <w:rPr>
      <w:rFonts w:ascii="Arial" w:hAnsi="Arial" w:eastAsia="Arial" w:cs="Arial"/>
      <w:b/>
      <w:bCs/>
      <w:sz w:val="26"/>
      <w:szCs w:val="26"/>
    </w:rPr>
  </w:style>
  <w:style w:type="character" w:styleId="685" w:customStyle="1">
    <w:name w:val="Heading 5 Char"/>
    <w:basedOn w:val="678"/>
    <w:uiPriority w:val="9"/>
    <w:rPr>
      <w:rFonts w:ascii="Arial" w:hAnsi="Arial" w:eastAsia="Arial" w:cs="Arial"/>
      <w:b/>
      <w:bCs/>
      <w:sz w:val="24"/>
      <w:szCs w:val="24"/>
    </w:rPr>
  </w:style>
  <w:style w:type="character" w:styleId="686" w:customStyle="1">
    <w:name w:val="Heading 6 Char"/>
    <w:basedOn w:val="678"/>
    <w:uiPriority w:val="9"/>
    <w:rPr>
      <w:rFonts w:ascii="Arial" w:hAnsi="Arial" w:eastAsia="Arial" w:cs="Arial"/>
      <w:b/>
      <w:bCs/>
      <w:sz w:val="22"/>
      <w:szCs w:val="22"/>
    </w:rPr>
  </w:style>
  <w:style w:type="character" w:styleId="687" w:customStyle="1">
    <w:name w:val="Heading 7 Char"/>
    <w:basedOn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8" w:customStyle="1">
    <w:name w:val="Heading 8 Char"/>
    <w:basedOn w:val="678"/>
    <w:uiPriority w:val="9"/>
    <w:rPr>
      <w:rFonts w:ascii="Arial" w:hAnsi="Arial" w:eastAsia="Arial" w:cs="Arial"/>
      <w:i/>
      <w:iCs/>
      <w:sz w:val="22"/>
      <w:szCs w:val="22"/>
    </w:rPr>
  </w:style>
  <w:style w:type="character" w:styleId="689" w:customStyle="1">
    <w:name w:val="Heading 9 Char"/>
    <w:basedOn w:val="678"/>
    <w:uiPriority w:val="9"/>
    <w:rPr>
      <w:rFonts w:ascii="Arial" w:hAnsi="Arial" w:eastAsia="Arial" w:cs="Arial"/>
      <w:i/>
      <w:iCs/>
      <w:sz w:val="21"/>
      <w:szCs w:val="21"/>
    </w:rPr>
  </w:style>
  <w:style w:type="character" w:styleId="690" w:customStyle="1">
    <w:name w:val="Title Char"/>
    <w:basedOn w:val="678"/>
    <w:uiPriority w:val="10"/>
    <w:rPr>
      <w:sz w:val="48"/>
      <w:szCs w:val="48"/>
    </w:rPr>
  </w:style>
  <w:style w:type="character" w:styleId="691" w:customStyle="1">
    <w:name w:val="Subtitle Char"/>
    <w:basedOn w:val="678"/>
    <w:uiPriority w:val="11"/>
    <w:rPr>
      <w:sz w:val="24"/>
      <w:szCs w:val="24"/>
    </w:rPr>
  </w:style>
  <w:style w:type="character" w:styleId="692" w:customStyle="1">
    <w:name w:val="Quote Char"/>
    <w:uiPriority w:val="29"/>
    <w:rPr>
      <w:i/>
    </w:rPr>
  </w:style>
  <w:style w:type="character" w:styleId="693" w:customStyle="1">
    <w:name w:val="Intense Quote Char"/>
    <w:uiPriority w:val="30"/>
    <w:rPr>
      <w:i/>
    </w:rPr>
  </w:style>
  <w:style w:type="character" w:styleId="694" w:customStyle="1">
    <w:name w:val="Footnote Text Char"/>
    <w:uiPriority w:val="99"/>
    <w:rPr>
      <w:sz w:val="18"/>
    </w:rPr>
  </w:style>
  <w:style w:type="character" w:styleId="695" w:customStyle="1">
    <w:name w:val="Endnote Text Char"/>
    <w:uiPriority w:val="99"/>
    <w:rPr>
      <w:sz w:val="20"/>
    </w:rPr>
  </w:style>
  <w:style w:type="character" w:styleId="696" w:customStyle="1">
    <w:name w:val="Заголовок 1 Знак"/>
    <w:link w:val="669"/>
    <w:uiPriority w:val="9"/>
    <w:rPr>
      <w:rFonts w:ascii="Arial" w:hAnsi="Arial" w:eastAsia="Arial" w:cs="Arial"/>
      <w:sz w:val="40"/>
      <w:szCs w:val="40"/>
    </w:rPr>
  </w:style>
  <w:style w:type="character" w:styleId="697" w:customStyle="1">
    <w:name w:val="Заголовок 2 Знак"/>
    <w:link w:val="670"/>
    <w:uiPriority w:val="9"/>
    <w:rPr>
      <w:rFonts w:ascii="Arial" w:hAnsi="Arial" w:eastAsia="Arial" w:cs="Arial"/>
      <w:sz w:val="34"/>
    </w:rPr>
  </w:style>
  <w:style w:type="character" w:styleId="698" w:customStyle="1">
    <w:name w:val="Заголовок 3 Знак"/>
    <w:link w:val="671"/>
    <w:uiPriority w:val="9"/>
    <w:rPr>
      <w:rFonts w:ascii="Arial" w:hAnsi="Arial" w:eastAsia="Arial" w:cs="Arial"/>
      <w:sz w:val="30"/>
      <w:szCs w:val="30"/>
    </w:rPr>
  </w:style>
  <w:style w:type="character" w:styleId="699" w:customStyle="1">
    <w:name w:val="Заголовок 4 Знак"/>
    <w:link w:val="672"/>
    <w:uiPriority w:val="9"/>
    <w:rPr>
      <w:rFonts w:ascii="Arial" w:hAnsi="Arial" w:eastAsia="Arial" w:cs="Arial"/>
      <w:b/>
      <w:bCs/>
      <w:sz w:val="26"/>
      <w:szCs w:val="26"/>
    </w:rPr>
  </w:style>
  <w:style w:type="character" w:styleId="700" w:customStyle="1">
    <w:name w:val="Заголовок 5 Знак"/>
    <w:link w:val="673"/>
    <w:uiPriority w:val="9"/>
    <w:rPr>
      <w:rFonts w:ascii="Arial" w:hAnsi="Arial" w:eastAsia="Arial" w:cs="Arial"/>
      <w:b/>
      <w:bCs/>
      <w:sz w:val="24"/>
      <w:szCs w:val="24"/>
    </w:rPr>
  </w:style>
  <w:style w:type="character" w:styleId="701" w:customStyle="1">
    <w:name w:val="Заголовок 6 Знак"/>
    <w:link w:val="674"/>
    <w:uiPriority w:val="9"/>
    <w:rPr>
      <w:rFonts w:ascii="Arial" w:hAnsi="Arial" w:eastAsia="Arial" w:cs="Arial"/>
      <w:b/>
      <w:bCs/>
      <w:sz w:val="22"/>
      <w:szCs w:val="22"/>
    </w:rPr>
  </w:style>
  <w:style w:type="character" w:styleId="702" w:customStyle="1">
    <w:name w:val="Заголовок 7 Знак"/>
    <w:link w:val="67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3" w:customStyle="1">
    <w:name w:val="Заголовок 8 Знак"/>
    <w:link w:val="676"/>
    <w:uiPriority w:val="9"/>
    <w:rPr>
      <w:rFonts w:ascii="Arial" w:hAnsi="Arial" w:eastAsia="Arial" w:cs="Arial"/>
      <w:i/>
      <w:iCs/>
      <w:sz w:val="22"/>
      <w:szCs w:val="22"/>
    </w:rPr>
  </w:style>
  <w:style w:type="character" w:styleId="704" w:customStyle="1">
    <w:name w:val="Заголовок 9 Знак"/>
    <w:link w:val="677"/>
    <w:uiPriority w:val="9"/>
    <w:rPr>
      <w:rFonts w:ascii="Arial" w:hAnsi="Arial" w:eastAsia="Arial" w:cs="Arial"/>
      <w:i/>
      <w:iCs/>
      <w:sz w:val="21"/>
      <w:szCs w:val="21"/>
    </w:rPr>
  </w:style>
  <w:style w:type="paragraph" w:styleId="705">
    <w:name w:val="List Paragraph"/>
    <w:basedOn w:val="668"/>
    <w:uiPriority w:val="34"/>
    <w:qFormat/>
    <w:pPr>
      <w:contextualSpacing/>
      <w:ind w:left="720"/>
    </w:pPr>
  </w:style>
  <w:style w:type="paragraph" w:styleId="706">
    <w:name w:val="No Spacing"/>
    <w:uiPriority w:val="1"/>
    <w:qFormat/>
  </w:style>
  <w:style w:type="paragraph" w:styleId="707">
    <w:name w:val="Title"/>
    <w:basedOn w:val="668"/>
    <w:next w:val="668"/>
    <w:link w:val="70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8" w:customStyle="1">
    <w:name w:val="Заголовок Знак"/>
    <w:link w:val="707"/>
    <w:uiPriority w:val="10"/>
    <w:rPr>
      <w:sz w:val="48"/>
      <w:szCs w:val="48"/>
    </w:rPr>
  </w:style>
  <w:style w:type="paragraph" w:styleId="709">
    <w:name w:val="Subtitle"/>
    <w:basedOn w:val="668"/>
    <w:next w:val="668"/>
    <w:link w:val="710"/>
    <w:uiPriority w:val="11"/>
    <w:qFormat/>
    <w:pPr>
      <w:spacing w:before="200" w:after="200"/>
    </w:pPr>
  </w:style>
  <w:style w:type="character" w:styleId="710" w:customStyle="1">
    <w:name w:val="Подзаголовок Знак"/>
    <w:link w:val="709"/>
    <w:uiPriority w:val="11"/>
    <w:rPr>
      <w:sz w:val="24"/>
      <w:szCs w:val="24"/>
    </w:rPr>
  </w:style>
  <w:style w:type="paragraph" w:styleId="711">
    <w:name w:val="Quote"/>
    <w:basedOn w:val="668"/>
    <w:next w:val="668"/>
    <w:link w:val="712"/>
    <w:uiPriority w:val="29"/>
    <w:qFormat/>
    <w:pPr>
      <w:ind w:left="720" w:right="720"/>
    </w:pPr>
    <w:rPr>
      <w:i/>
    </w:rPr>
  </w:style>
  <w:style w:type="character" w:styleId="712" w:customStyle="1">
    <w:name w:val="Цитата 2 Знак"/>
    <w:link w:val="711"/>
    <w:uiPriority w:val="29"/>
    <w:rPr>
      <w:i/>
    </w:rPr>
  </w:style>
  <w:style w:type="paragraph" w:styleId="713">
    <w:name w:val="Intense Quote"/>
    <w:basedOn w:val="668"/>
    <w:next w:val="668"/>
    <w:link w:val="71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4" w:customStyle="1">
    <w:name w:val="Выделенная цитата Знак"/>
    <w:link w:val="713"/>
    <w:uiPriority w:val="30"/>
    <w:rPr>
      <w:i/>
    </w:rPr>
  </w:style>
  <w:style w:type="paragraph" w:styleId="715">
    <w:name w:val="Header"/>
    <w:basedOn w:val="668"/>
    <w:link w:val="87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16" w:customStyle="1">
    <w:name w:val="Header Char"/>
    <w:uiPriority w:val="99"/>
  </w:style>
  <w:style w:type="paragraph" w:styleId="717">
    <w:name w:val="Footer"/>
    <w:basedOn w:val="668"/>
    <w:link w:val="87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18" w:customStyle="1">
    <w:name w:val="Footer Char"/>
    <w:uiPriority w:val="99"/>
  </w:style>
  <w:style w:type="paragraph" w:styleId="719">
    <w:name w:val="Caption"/>
    <w:basedOn w:val="668"/>
    <w:next w:val="66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0" w:customStyle="1">
    <w:name w:val="Caption Char"/>
    <w:uiPriority w:val="99"/>
  </w:style>
  <w:style w:type="table" w:styleId="721">
    <w:name w:val="Table Grid"/>
    <w:basedOn w:val="679"/>
    <w:uiPriority w:val="59"/>
    <w:tblPr/>
  </w:style>
  <w:style w:type="table" w:styleId="722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6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8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0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1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2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3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4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5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6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7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3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4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5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6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7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68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9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0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5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3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4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5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6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17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18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19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7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8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9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0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1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2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3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4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5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6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7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8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9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0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1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2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3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4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5" w:customStyle="1">
    <w:name w:val="Bordered - Accent 5"/>
    <w:link w:val="87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6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47">
    <w:name w:val="Hyperlink"/>
    <w:uiPriority w:val="99"/>
    <w:unhideWhenUsed/>
    <w:rPr>
      <w:color w:val="0563c1"/>
      <w:u w:val="single"/>
    </w:rPr>
  </w:style>
  <w:style w:type="paragraph" w:styleId="848">
    <w:name w:val="footnote text"/>
    <w:basedOn w:val="668"/>
    <w:link w:val="849"/>
    <w:uiPriority w:val="99"/>
    <w:semiHidden/>
    <w:unhideWhenUsed/>
    <w:pPr>
      <w:spacing w:after="40"/>
    </w:pPr>
    <w:rPr>
      <w:sz w:val="18"/>
    </w:rPr>
  </w:style>
  <w:style w:type="character" w:styleId="849" w:customStyle="1">
    <w:name w:val="Текст сноски Знак"/>
    <w:link w:val="848"/>
    <w:uiPriority w:val="99"/>
    <w:rPr>
      <w:sz w:val="18"/>
    </w:rPr>
  </w:style>
  <w:style w:type="character" w:styleId="850">
    <w:name w:val="footnote reference"/>
    <w:uiPriority w:val="99"/>
    <w:unhideWhenUsed/>
    <w:rPr>
      <w:vertAlign w:val="superscript"/>
    </w:rPr>
  </w:style>
  <w:style w:type="paragraph" w:styleId="851">
    <w:name w:val="endnote text"/>
    <w:basedOn w:val="668"/>
    <w:link w:val="852"/>
    <w:uiPriority w:val="99"/>
    <w:semiHidden/>
    <w:unhideWhenUsed/>
    <w:rPr>
      <w:sz w:val="20"/>
    </w:rPr>
  </w:style>
  <w:style w:type="character" w:styleId="852" w:customStyle="1">
    <w:name w:val="Текст концевой сноски Знак"/>
    <w:link w:val="851"/>
    <w:uiPriority w:val="99"/>
    <w:rPr>
      <w:sz w:val="20"/>
    </w:rPr>
  </w:style>
  <w:style w:type="character" w:styleId="853">
    <w:name w:val="endnote reference"/>
    <w:uiPriority w:val="99"/>
    <w:semiHidden/>
    <w:unhideWhenUsed/>
    <w:rPr>
      <w:vertAlign w:val="superscript"/>
    </w:rPr>
  </w:style>
  <w:style w:type="paragraph" w:styleId="854">
    <w:name w:val="toc 1"/>
    <w:basedOn w:val="668"/>
    <w:next w:val="668"/>
    <w:uiPriority w:val="39"/>
    <w:unhideWhenUsed/>
    <w:pPr>
      <w:spacing w:after="57"/>
    </w:pPr>
  </w:style>
  <w:style w:type="paragraph" w:styleId="855">
    <w:name w:val="toc 2"/>
    <w:basedOn w:val="668"/>
    <w:next w:val="668"/>
    <w:uiPriority w:val="39"/>
    <w:unhideWhenUsed/>
    <w:pPr>
      <w:ind w:left="283"/>
      <w:spacing w:after="57"/>
    </w:pPr>
  </w:style>
  <w:style w:type="paragraph" w:styleId="856">
    <w:name w:val="toc 3"/>
    <w:basedOn w:val="668"/>
    <w:next w:val="668"/>
    <w:uiPriority w:val="39"/>
    <w:unhideWhenUsed/>
    <w:pPr>
      <w:ind w:left="567"/>
      <w:spacing w:after="57"/>
    </w:pPr>
  </w:style>
  <w:style w:type="paragraph" w:styleId="857">
    <w:name w:val="toc 4"/>
    <w:basedOn w:val="668"/>
    <w:next w:val="668"/>
    <w:uiPriority w:val="39"/>
    <w:unhideWhenUsed/>
    <w:pPr>
      <w:ind w:left="850"/>
      <w:spacing w:after="57"/>
    </w:pPr>
  </w:style>
  <w:style w:type="paragraph" w:styleId="858">
    <w:name w:val="toc 5"/>
    <w:basedOn w:val="668"/>
    <w:next w:val="668"/>
    <w:uiPriority w:val="39"/>
    <w:unhideWhenUsed/>
    <w:pPr>
      <w:ind w:left="1134"/>
      <w:spacing w:after="57"/>
    </w:pPr>
  </w:style>
  <w:style w:type="paragraph" w:styleId="859">
    <w:name w:val="toc 6"/>
    <w:basedOn w:val="668"/>
    <w:next w:val="668"/>
    <w:uiPriority w:val="39"/>
    <w:unhideWhenUsed/>
    <w:pPr>
      <w:ind w:left="1417"/>
      <w:spacing w:after="57"/>
    </w:pPr>
  </w:style>
  <w:style w:type="paragraph" w:styleId="860">
    <w:name w:val="toc 7"/>
    <w:basedOn w:val="668"/>
    <w:next w:val="668"/>
    <w:uiPriority w:val="39"/>
    <w:unhideWhenUsed/>
    <w:pPr>
      <w:ind w:left="1701"/>
      <w:spacing w:after="57"/>
    </w:pPr>
  </w:style>
  <w:style w:type="paragraph" w:styleId="861">
    <w:name w:val="toc 8"/>
    <w:basedOn w:val="668"/>
    <w:next w:val="668"/>
    <w:uiPriority w:val="39"/>
    <w:unhideWhenUsed/>
    <w:pPr>
      <w:ind w:left="1984"/>
      <w:spacing w:after="57"/>
    </w:pPr>
  </w:style>
  <w:style w:type="paragraph" w:styleId="862">
    <w:name w:val="toc 9"/>
    <w:basedOn w:val="668"/>
    <w:next w:val="668"/>
    <w:uiPriority w:val="39"/>
    <w:unhideWhenUsed/>
    <w:pPr>
      <w:ind w:left="2268"/>
      <w:spacing w:after="57"/>
    </w:pPr>
  </w:style>
  <w:style w:type="paragraph" w:styleId="863">
    <w:name w:val="TOC Heading"/>
    <w:uiPriority w:val="39"/>
    <w:unhideWhenUsed/>
  </w:style>
  <w:style w:type="paragraph" w:styleId="864">
    <w:name w:val="table of figures"/>
    <w:basedOn w:val="668"/>
    <w:next w:val="668"/>
    <w:uiPriority w:val="99"/>
    <w:unhideWhenUsed/>
  </w:style>
  <w:style w:type="paragraph" w:styleId="865" w:customStyle="1">
    <w:name w:val="ConsPlusNormal"/>
    <w:pPr>
      <w:widowControl w:val="off"/>
    </w:pPr>
    <w:rPr>
      <w:rFonts w:eastAsia="Times New Roman" w:cs="Calibri"/>
      <w:sz w:val="22"/>
      <w:lang w:eastAsia="ru-RU"/>
    </w:rPr>
  </w:style>
  <w:style w:type="paragraph" w:styleId="866" w:customStyle="1">
    <w:name w:val="ConsPlusTitle"/>
    <w:pPr>
      <w:widowControl w:val="off"/>
    </w:pPr>
    <w:rPr>
      <w:rFonts w:eastAsia="Times New Roman" w:cs="Calibri"/>
      <w:b/>
      <w:sz w:val="22"/>
      <w:lang w:eastAsia="ru-RU"/>
    </w:rPr>
  </w:style>
  <w:style w:type="paragraph" w:styleId="867">
    <w:name w:val="Balloon Text"/>
    <w:basedOn w:val="668"/>
    <w:link w:val="868"/>
    <w:uiPriority w:val="99"/>
    <w:semiHidden/>
    <w:unhideWhenUsed/>
    <w:rPr>
      <w:rFonts w:ascii="Tahoma" w:hAnsi="Tahoma" w:cs="Tahoma"/>
      <w:sz w:val="16"/>
      <w:szCs w:val="16"/>
    </w:rPr>
  </w:style>
  <w:style w:type="character" w:styleId="868" w:customStyle="1">
    <w:name w:val="Текст выноски Знак"/>
    <w:link w:val="867"/>
    <w:uiPriority w:val="99"/>
    <w:semiHidden/>
    <w:rPr>
      <w:rFonts w:ascii="Tahoma" w:hAnsi="Tahoma" w:cs="Tahoma"/>
      <w:sz w:val="16"/>
      <w:szCs w:val="16"/>
    </w:rPr>
  </w:style>
  <w:style w:type="paragraph" w:styleId="869" w:customStyle="1">
    <w:name w:val="ConsPlusNonformat"/>
    <w:pPr>
      <w:widowControl w:val="off"/>
    </w:pPr>
    <w:rPr>
      <w:rFonts w:ascii="Courier New" w:hAnsi="Courier New" w:eastAsia="Times New Roman" w:cs="Courier New"/>
      <w:lang w:eastAsia="ru-RU"/>
    </w:rPr>
  </w:style>
  <w:style w:type="character" w:styleId="870" w:customStyle="1">
    <w:name w:val="Верхний колонтитул Знак"/>
    <w:link w:val="715"/>
    <w:uiPriority w:val="99"/>
    <w:rPr>
      <w:sz w:val="22"/>
      <w:szCs w:val="22"/>
      <w:lang w:eastAsia="en-US"/>
    </w:rPr>
  </w:style>
  <w:style w:type="character" w:styleId="871" w:customStyle="1">
    <w:name w:val="Нижний колонтитул Знак"/>
    <w:link w:val="717"/>
    <w:uiPriority w:val="99"/>
    <w:rPr>
      <w:sz w:val="22"/>
      <w:szCs w:val="22"/>
      <w:lang w:eastAsia="en-US"/>
    </w:rPr>
  </w:style>
  <w:style w:type="character" w:styleId="872" w:customStyle="1">
    <w:name w:val="search_result"/>
  </w:style>
  <w:style w:type="paragraph" w:styleId="873">
    <w:name w:val="Normal (Web)"/>
    <w:basedOn w:val="668"/>
    <w:uiPriority w:val="99"/>
    <w:unhideWhenUsed/>
    <w:pPr>
      <w:spacing w:before="100" w:beforeAutospacing="1" w:after="100" w:afterAutospacing="1"/>
    </w:pPr>
  </w:style>
  <w:style w:type="paragraph" w:styleId="874" w:customStyle="1">
    <w:name w:val="Стиль1"/>
    <w:basedOn w:val="851"/>
    <w:pPr>
      <w:ind w:firstLine="567"/>
      <w:jc w:val="both"/>
      <w:spacing w:line="36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eastAsia="Times New Roman"/>
      <w:sz w:val="24"/>
      <w:szCs w:val="20"/>
    </w:rPr>
  </w:style>
  <w:style w:type="paragraph" w:styleId="875" w:customStyle="1">
    <w:name w:val="Без интервала1"/>
    <w:next w:val="861"/>
    <w:link w:val="845"/>
    <w:uiPriority w:val="1"/>
    <w:qFormat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/>
      <w:lang w:eastAsia="ru-RU"/>
    </w:rPr>
  </w:style>
  <w:style w:type="paragraph" w:styleId="876" w:customStyle="1">
    <w:name w:val="обычный текст"/>
    <w:qFormat/>
    <w:pPr>
      <w:ind w:firstLine="709"/>
      <w:jc w:val="both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login.consultant.ru/link/?req=doc&amp;base=LAW&amp;n=450824&amp;dst=12254" TargetMode="External"/><Relationship Id="rId11" Type="http://schemas.openxmlformats.org/officeDocument/2006/relationships/hyperlink" Target="https://login.consultant.ru/link/?req=doc&amp;base=LAW&amp;n=450824&amp;dst=2918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PNO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Богомолова Инна Васильевна</dc:creator>
  <cp:revision>4</cp:revision>
  <dcterms:created xsi:type="dcterms:W3CDTF">2025-07-08T03:35:00Z</dcterms:created>
  <dcterms:modified xsi:type="dcterms:W3CDTF">2025-07-08T07:11:00Z</dcterms:modified>
  <cp:version>1048576</cp:version>
</cp:coreProperties>
</file>