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8"/>
        <w:jc w:val="center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19" cy="64755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821995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46219" cy="64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1pt;height:50.9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59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5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ДЕПАРТАМЕНТ </w:t>
      </w:r>
      <w:r>
        <w:rPr>
          <w:b/>
          <w:color w:val="000000" w:themeColor="text1"/>
        </w:rPr>
        <w:t xml:space="preserve">ИМУЩЕСТВА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05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 ЗЕМЕЛЬНЫХ ОТНОШЕНИЙ 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НОВОСИБИРСКОЙ ОБЛАСТИ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059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59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ПРИКАЗ</w:t>
      </w:r>
      <w:r>
        <w:rPr>
          <w:b/>
          <w:color w:val="000000" w:themeColor="text1"/>
          <w:sz w:val="36"/>
          <w:szCs w:val="36"/>
        </w:rPr>
      </w:r>
      <w:r>
        <w:rPr>
          <w:b/>
          <w:color w:val="000000" w:themeColor="text1"/>
          <w:sz w:val="36"/>
          <w:szCs w:val="36"/>
        </w:rPr>
      </w:r>
    </w:p>
    <w:p>
      <w:pPr>
        <w:pStyle w:val="1059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179070</wp:posOffset>
                </wp:positionV>
                <wp:extent cx="977265" cy="22796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77265" cy="227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59"/>
                            </w:pPr>
                            <w:r/>
                            <w:bookmarkStart w:id="0" w:name="undefined"/>
                            <w:r/>
                            <w:bookmarkEnd w:id="0"/>
                            <w:r/>
                            <w:r/>
                          </w:p>
                          <w:p>
                            <w:pPr>
                              <w:pStyle w:val="1040"/>
                            </w:pPr>
                            <w:r/>
                            <w:r/>
                          </w:p>
                        </w:txbxContent>
                      </wps:txbx>
                      <wps:bodyPr wrap="square" lIns="18000" tIns="10800" rIns="18000" bIns="108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1059"/>
                      </w:pPr>
                      <w:r/>
                      <w:bookmarkStart w:id="0" w:name="undefined"/>
                      <w:r/>
                      <w:bookmarkEnd w:id="0"/>
                      <w:r/>
                      <w:r/>
                    </w:p>
                    <w:p>
                      <w:pPr>
                        <w:pStyle w:val="10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179070</wp:posOffset>
                </wp:positionV>
                <wp:extent cx="1295400" cy="232410"/>
                <wp:effectExtent l="0" t="0" r="0" b="0"/>
                <wp:wrapNone/>
                <wp:docPr id="3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95399" cy="232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59"/>
                            </w:pPr>
                            <w:r/>
                            <w:r/>
                          </w:p>
                          <w:p>
                            <w:pPr>
                              <w:pStyle w:val="1040"/>
                            </w:pPr>
                            <w:r/>
                            <w:r/>
                          </w:p>
                        </w:txbxContent>
                      </wps:txbx>
                      <wps:bodyPr wrap="square" lIns="18000" tIns="10800" rIns="18000" bIns="108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1059"/>
                      </w:pPr>
                      <w:r/>
                      <w:r/>
                    </w:p>
                    <w:p>
                      <w:pPr>
                        <w:pStyle w:val="10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59"/>
        <w:jc w:val="left"/>
        <w:tabs>
          <w:tab w:val="right" w:pos="9922" w:leader="none"/>
        </w:tabs>
        <w:rPr>
          <w:color w:val="000000" w:themeColor="text1"/>
        </w:rPr>
      </w:pPr>
      <w:r>
        <w:rPr>
          <w:color w:val="000000" w:themeColor="text1"/>
        </w:rPr>
        <w:t xml:space="preserve">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№ 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г. Новосибирск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6"/>
        <w:jc w:val="center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Административного регламента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66"/>
        <w:jc w:val="center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имущества и земельных отношений Новосибирской области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66"/>
        <w:jc w:val="center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предоставлению государственной услуги «У</w:t>
      </w:r>
      <w:r>
        <w:rPr>
          <w:color w:val="000000" w:themeColor="text1"/>
          <w:sz w:val="28"/>
          <w:szCs w:val="28"/>
        </w:rPr>
        <w:t xml:space="preserve">становление и прекращение публичных сервитутов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en-US"/>
        </w:rPr>
        <w:t xml:space="preserve">В соответствии с Земельным кодексом Российской Федерации от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25.10.2001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136-ФЗ, Федеральным законом от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27.07.2010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210</w:t>
      </w:r>
      <w:r>
        <w:rPr>
          <w:color w:val="000000" w:themeColor="text1"/>
          <w:sz w:val="28"/>
          <w:szCs w:val="28"/>
          <w:lang w:val="en-US"/>
        </w:rPr>
        <w:t xml:space="preserve">-ФЗ </w:t>
      </w:r>
      <w:r>
        <w:rPr>
          <w:color w:val="000000" w:themeColor="text1"/>
          <w:sz w:val="28"/>
          <w:szCs w:val="28"/>
          <w:lang w:val="ru-RU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Об организации предоставления государственных и муниципальных услуг</w:t>
      </w:r>
      <w:r>
        <w:rPr>
          <w:color w:val="000000" w:themeColor="text1"/>
          <w:sz w:val="28"/>
          <w:szCs w:val="28"/>
          <w:lang w:val="ru-RU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 xml:space="preserve">Законом Новосибирской области от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05.12.2016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112-ОЗ </w:t>
      </w:r>
      <w:r>
        <w:rPr>
          <w:color w:val="000000" w:themeColor="text1"/>
          <w:sz w:val="28"/>
          <w:szCs w:val="28"/>
          <w:lang w:val="ru-RU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Об отдельных вопросах регулирова</w:t>
      </w:r>
      <w:r>
        <w:rPr>
          <w:color w:val="000000" w:themeColor="text1"/>
          <w:sz w:val="28"/>
          <w:szCs w:val="28"/>
          <w:lang w:val="en-US"/>
        </w:rPr>
        <w:t xml:space="preserve">ния земельных отношений на территории Новосибирской области</w:t>
      </w:r>
      <w:r>
        <w:rPr>
          <w:color w:val="000000" w:themeColor="text1"/>
          <w:sz w:val="28"/>
          <w:szCs w:val="28"/>
          <w:lang w:val="ru-RU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, Постановлением Правительства Новосибирской области от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18.10.2010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176-п «Об утверждении Порядка разработки и утверждения областными исполнительными органами государственной власти Новосибирской</w:t>
      </w:r>
      <w:r>
        <w:rPr>
          <w:color w:val="000000" w:themeColor="text1"/>
          <w:sz w:val="28"/>
          <w:szCs w:val="28"/>
          <w:lang w:val="en-US"/>
        </w:rPr>
        <w:t xml:space="preserve"> области административных регламентов предоставления государственных услуг»,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14.12.2016 №</w:t>
      </w:r>
      <w:r>
        <w:rPr>
          <w:color w:val="000000" w:themeColor="text1"/>
          <w:szCs w:val="28"/>
        </w:rPr>
        <w:t xml:space="preserve"> </w:t>
      </w:r>
      <w:r>
        <w:rPr>
          <w:color w:val="000000" w:themeColor="text1"/>
          <w:sz w:val="28"/>
          <w:szCs w:val="28"/>
          <w:lang w:val="en-US"/>
        </w:rPr>
        <w:t xml:space="preserve">428-п, </w:t>
      </w:r>
      <w:r>
        <w:rPr>
          <w:b/>
          <w:color w:val="000000" w:themeColor="text1"/>
          <w:sz w:val="28"/>
          <w:szCs w:val="28"/>
          <w:highlight w:val="none"/>
        </w:rPr>
        <w:t xml:space="preserve">п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р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и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к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а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з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ы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в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а</w:t>
      </w:r>
      <w:r>
        <w:rPr>
          <w:b/>
          <w:color w:val="000000" w:themeColor="text1"/>
          <w:sz w:val="28"/>
          <w:szCs w:val="28"/>
          <w:highlight w:val="none"/>
        </w:rPr>
        <w:t xml:space="preserve"> </w:t>
      </w:r>
      <w:r>
        <w:rPr>
          <w:b/>
          <w:color w:val="000000" w:themeColor="text1"/>
          <w:sz w:val="28"/>
          <w:szCs w:val="28"/>
          <w:highlight w:val="none"/>
        </w:rPr>
        <w:t xml:space="preserve">ю: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</w:t>
      </w:r>
      <w:r>
        <w:rPr>
          <w:color w:val="000000" w:themeColor="text1"/>
          <w:sz w:val="28"/>
          <w:szCs w:val="28"/>
        </w:rPr>
        <w:t xml:space="preserve">Утвердить прилагаемый Административный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"https://login.consultant.ru/link/?rnd=4F76CFA3B754175EE6B7A4131CD947A5&amp;req=doc&amp;base=LAW&amp;n=314549&amp;dst=100017&amp;fld=134&amp;date=22.01.2020"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  <w:sz w:val="28"/>
          <w:szCs w:val="28"/>
        </w:rPr>
        <w:t xml:space="preserve">регламент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епартамента имущества и земельных отношений Новосибирской области</w:t>
      </w:r>
      <w:r>
        <w:rPr>
          <w:color w:val="000000" w:themeColor="text1"/>
          <w:sz w:val="28"/>
          <w:szCs w:val="28"/>
        </w:rPr>
        <w:t xml:space="preserve"> по предоставлению государственной услуги «У</w:t>
      </w:r>
      <w:r>
        <w:rPr>
          <w:color w:val="000000" w:themeColor="text1"/>
          <w:sz w:val="28"/>
          <w:szCs w:val="28"/>
        </w:rPr>
        <w:t xml:space="preserve">становление и прекращение публичных сервитутов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(далее – Административный регламент)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0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  <w:t xml:space="preserve">2. </w:t>
      </w:r>
      <w:r>
        <w:rPr>
          <w:color w:val="000000" w:themeColor="text1"/>
          <w:sz w:val="28"/>
          <w:szCs w:val="28"/>
          <w:lang w:val="en-US"/>
        </w:rPr>
        <w:t xml:space="preserve">Отделу земельных отношений (О.Н. Григоренко) обеспечить предоставление государственной услуги в соответствии с Административным регламентом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3. </w:t>
      </w:r>
      <w:r>
        <w:rPr>
          <w:color w:val="000000" w:themeColor="text1"/>
          <w:sz w:val="28"/>
          <w:szCs w:val="28"/>
        </w:rPr>
        <w:t xml:space="preserve">Контроль за исполнением настоящего приказа </w:t>
      </w:r>
      <w:r>
        <w:rPr>
          <w:color w:val="000000" w:themeColor="text1"/>
          <w:sz w:val="28"/>
          <w:szCs w:val="28"/>
        </w:rPr>
        <w:t xml:space="preserve">возложить на заместителя руководителя</w:t>
      </w:r>
      <w:r>
        <w:rPr>
          <w:color w:val="000000" w:themeColor="text1"/>
          <w:sz w:val="28"/>
          <w:szCs w:val="28"/>
        </w:rPr>
        <w:t xml:space="preserve"> департамента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имущества и земельных отношений Новосибирской области</w:t>
      </w:r>
      <w:r>
        <w:rPr>
          <w:color w:val="000000" w:themeColor="text1"/>
          <w:sz w:val="28"/>
          <w:szCs w:val="28"/>
        </w:rPr>
        <w:t xml:space="preserve"> – начальника отдела реализации перераспределенных полномочий по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 распоряжению земельными участками Комарова П.Г.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Руководитель департамента                              </w:t>
        <w:tab/>
        <w:tab/>
        <w:t xml:space="preserve">                  Р.Г. Шилохвостов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  <w:sz w:val="20"/>
          <w:szCs w:val="20"/>
          <w:highlight w:val="none"/>
        </w:rPr>
      </w:pPr>
      <w:r>
        <w:rPr>
          <w:color w:val="000000" w:themeColor="text1"/>
          <w:sz w:val="20"/>
          <w:szCs w:val="20"/>
        </w:rPr>
        <w:t xml:space="preserve">А.А. Ясакова</w:t>
      </w: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8(383)238 60 30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СОГ</w:t>
      </w:r>
      <w:r>
        <w:rPr>
          <w:color w:val="000000" w:themeColor="text1"/>
          <w:sz w:val="28"/>
          <w:szCs w:val="28"/>
        </w:rPr>
        <w:t xml:space="preserve">ЛАСОВАНИЕ: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0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Заместитель руководителя департамента –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0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начальник отдела реализации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0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перераспределенных полномочий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60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по распоряжению земельными участками                                               П.Г. Комаров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ind w:right="-143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Юридический отдел                                                                                  ____________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Начальник отдела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земельных отношений                                                                          О.Н. Григоренко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Ведущий инженер </w:t>
        <w:tab/>
        <w:tab/>
        <w:tab/>
        <w:t xml:space="preserve">       </w:t>
        <w:tab/>
        <w:t xml:space="preserve">                                             А.А. Ясакова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6237"/>
        <w:jc w:val="center"/>
        <w:keepLines w:val="0"/>
        <w:spacing w:before="240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Утвержден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приказом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департамента имущества и земельных отношений Новосибирской </w:t>
      </w:r>
      <w:r>
        <w:rPr>
          <w:color w:val="000000" w:themeColor="text1"/>
          <w:sz w:val="28"/>
          <w:szCs w:val="28"/>
          <w:lang w:val="en-US"/>
        </w:rPr>
        <w:t xml:space="preserve">области                    о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т _________ № _______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6237"/>
        <w:jc w:val="center"/>
        <w:spacing w:before="24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7371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 w:eastAsia="ru-RU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регламент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b/>
          <w:color w:val="000000" w:themeColor="text1"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color w:val="000000" w:themeColor="text1"/>
          <w:sz w:val="28"/>
          <w:szCs w:val="28"/>
          <w:lang w:eastAsia="ru-RU"/>
        </w:rPr>
        <w:br/>
        <w:t xml:space="preserve">по предоставлению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услуги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«У</w:t>
      </w:r>
      <w:r>
        <w:rPr>
          <w:b/>
          <w:color w:val="000000" w:themeColor="text1"/>
          <w:sz w:val="28"/>
          <w:szCs w:val="28"/>
        </w:rPr>
        <w:t xml:space="preserve">становление и прекращение публичных сервитутов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»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 Общие положения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1. Настоящий Административный регламент устанавливает порядок и стандарт предоставления государственной услуги «У</w:t>
      </w:r>
      <w:r>
        <w:rPr>
          <w:iCs/>
          <w:color w:val="000000" w:themeColor="text1"/>
          <w:sz w:val="28"/>
        </w:rPr>
        <w:t xml:space="preserve">становление и прекращение публичных сервитутов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2. Услуга предоставляется </w:t>
      </w:r>
      <w:r>
        <w:rPr>
          <w:iCs/>
          <w:color w:val="000000" w:themeColor="text1"/>
          <w:sz w:val="28"/>
        </w:rPr>
        <w:t xml:space="preserve">следующим</w:t>
      </w:r>
      <w:r>
        <w:rPr>
          <w:iCs/>
          <w:color w:val="000000" w:themeColor="text1"/>
          <w:sz w:val="28"/>
        </w:rPr>
        <w:t xml:space="preserve"> категориям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уполномоченный представитель, юридическое лицо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3. 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– Единый портал).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70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color w:val="000000" w:themeColor="text1"/>
          <w:sz w:val="28"/>
          <w:szCs w:val="28"/>
          <w:highlight w:val="none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0"/>
        <w:ind w:left="0" w:right="-1" w:firstLine="850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4. </w:t>
      </w:r>
      <w:r>
        <w:rPr>
          <w:iCs/>
          <w:color w:val="000000" w:themeColor="text1"/>
          <w:sz w:val="28"/>
        </w:rPr>
        <w:t xml:space="preserve">У</w:t>
      </w:r>
      <w:r>
        <w:rPr>
          <w:iCs/>
          <w:color w:val="000000" w:themeColor="text1"/>
          <w:sz w:val="28"/>
        </w:rPr>
        <w:t xml:space="preserve">становление и прекращение публичных сервитутов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 Услугу</w:t>
      </w:r>
      <w:r>
        <w:rPr>
          <w:color w:val="000000" w:themeColor="text1"/>
          <w:sz w:val="28"/>
          <w:szCs w:val="28"/>
        </w:rPr>
        <w:t xml:space="preserve"> предоставляет</w:t>
      </w:r>
      <w:r>
        <w:rPr>
          <w:color w:val="000000" w:themeColor="text1"/>
          <w:sz w:val="28"/>
          <w:szCs w:val="28"/>
        </w:rPr>
        <w:t xml:space="preserve"> д</w:t>
      </w:r>
      <w:r>
        <w:rPr>
          <w:color w:val="000000" w:themeColor="text1"/>
          <w:sz w:val="28"/>
          <w:szCs w:val="28"/>
        </w:rPr>
        <w:t xml:space="preserve">епартамент имущества и земельных отношений Новосибирской области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6. При обращении заявителя за у</w:t>
      </w:r>
      <w:r>
        <w:rPr>
          <w:iCs/>
          <w:color w:val="000000" w:themeColor="text1"/>
          <w:sz w:val="28"/>
        </w:rPr>
        <w:t xml:space="preserve">становлением публичного сервитута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решение об установлении публичного сервитута</w:t>
      </w:r>
      <w:r>
        <w:rPr>
          <w:iCs/>
          <w:color w:val="000000" w:themeColor="text1"/>
          <w:sz w:val="28"/>
          <w:lang w:val="en-US"/>
        </w:rPr>
        <w:t xml:space="preserve"> (</w:t>
      </w:r>
      <w:r>
        <w:rPr>
          <w:iCs/>
          <w:color w:val="000000" w:themeColor="text1"/>
          <w:sz w:val="28"/>
        </w:rPr>
        <w:t xml:space="preserve">документ на бумажном носителе или документ в электронной форме)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lang w:val="en-US"/>
        </w:rPr>
        <w:t xml:space="preserve">б) решение об отказе в предоставлении Услуги (</w:t>
      </w:r>
      <w:r>
        <w:rPr>
          <w:iCs/>
          <w:color w:val="000000" w:themeColor="text1"/>
          <w:sz w:val="28"/>
        </w:rPr>
        <w:t xml:space="preserve">документ на бумажном носителе или документ в электронной форме)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7.</w:t>
      </w:r>
      <w:r>
        <w:rPr>
          <w:iCs/>
          <w:color w:val="000000" w:themeColor="text1"/>
          <w:sz w:val="28"/>
        </w:rPr>
        <w:t xml:space="preserve"> При обращении заявителя за</w:t>
      </w:r>
      <w:r>
        <w:rPr>
          <w:iCs/>
          <w:color w:val="000000" w:themeColor="text1"/>
          <w:sz w:val="28"/>
        </w:rPr>
        <w:t xml:space="preserve"> прекращением публичного сервитута</w:t>
      </w:r>
      <w:r>
        <w:rPr>
          <w:iCs/>
          <w:color w:val="000000" w:themeColor="text1"/>
          <w:sz w:val="28"/>
        </w:rPr>
        <w:t xml:space="preserve"> результом предоставления Услуги является </w:t>
      </w:r>
      <w:r>
        <w:rPr>
          <w:color w:val="000000" w:themeColor="text1"/>
          <w:sz w:val="28"/>
          <w:szCs w:val="28"/>
          <w:lang w:val="en-US"/>
        </w:rPr>
        <w:t xml:space="preserve">решение о прекращении публичного сервитута </w:t>
      </w:r>
      <w:r>
        <w:rPr>
          <w:iCs/>
          <w:color w:val="000000" w:themeColor="text1"/>
          <w:sz w:val="28"/>
          <w:lang w:val="en-US"/>
        </w:rPr>
        <w:t xml:space="preserve">(</w:t>
      </w:r>
      <w:r>
        <w:rPr>
          <w:iCs/>
          <w:color w:val="000000" w:themeColor="text1"/>
          <w:sz w:val="28"/>
        </w:rPr>
        <w:t xml:space="preserve">документ на бумажном носителе или документ в электронной форме)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8. 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МФЦ, в Органе власти, посредством Единого портала, посредством почтовой связи, посредством электронной почты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  <w:r/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sdt>
        <w:sdtPr>
          <w15:appearance w15:val="boundingBox"/>
          <w:placeholder>
            <w:docPart w:val="DefaultPlaceholder_TEXT"/>
          </w:placeholder>
          <w:rPr>
            <w:b/>
            <w:iCs/>
            <w:color w:val="000000" w:themeColor="text1"/>
            <w:sz w:val="28"/>
          </w:rPr>
        </w:sdtPr>
        <w:sdtContent>
          <w:r>
            <w:rPr>
              <w:b/>
              <w:iCs/>
              <w:color w:val="000000" w:themeColor="text1"/>
              <w:sz w:val="28"/>
            </w:rPr>
            <w:t xml:space="preserve">Срок предоставления Услуги</w:t>
          </w:r>
          <w:r>
            <w:rPr>
              <w:b/>
              <w:iCs/>
              <w:color w:val="000000" w:themeColor="text1"/>
              <w:sz w:val="28"/>
            </w:rPr>
          </w:r>
        </w:sdtContent>
      </w:sdt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iCs/>
          <w:color w:val="000000" w:themeColor="text1"/>
          <w:sz w:val="28"/>
        </w:rPr>
        <w:t xml:space="preserve">9. Максимальный срок предоставления Услуги, исчисляемый с даты регистрации запроса о предоставлении Услуги (далее – заявление, ходатайство) и документов, необходимых для предоставления Услуги, составляет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3</w:t>
      </w:r>
      <w:r>
        <w:rPr>
          <w:iCs/>
          <w:color w:val="000000" w:themeColor="text1"/>
          <w:sz w:val="28"/>
          <w:lang w:val="en-US"/>
        </w:rPr>
        <w:t xml:space="preserve">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МФЦ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3</w:t>
      </w:r>
      <w:r>
        <w:rPr>
          <w:iCs/>
          <w:color w:val="000000" w:themeColor="text1"/>
          <w:sz w:val="28"/>
          <w:lang w:val="en-US"/>
        </w:rPr>
        <w:t xml:space="preserve">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 3</w:t>
      </w:r>
      <w:r>
        <w:rPr>
          <w:iCs/>
          <w:color w:val="000000" w:themeColor="text1"/>
          <w:sz w:val="28"/>
          <w:lang w:val="en-US"/>
        </w:rPr>
        <w:t xml:space="preserve">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Органе власти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 3</w:t>
      </w:r>
      <w:r>
        <w:rPr>
          <w:iCs/>
          <w:color w:val="000000" w:themeColor="text1"/>
          <w:sz w:val="28"/>
          <w:lang w:val="en-US"/>
        </w:rPr>
        <w:t xml:space="preserve">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 3</w:t>
      </w:r>
      <w:r>
        <w:rPr>
          <w:iCs/>
          <w:color w:val="000000" w:themeColor="text1"/>
          <w:sz w:val="28"/>
          <w:lang w:val="en-US"/>
        </w:rPr>
        <w:t xml:space="preserve">0 календарных дней</w:t>
      </w:r>
      <w:r>
        <w:rPr>
          <w:iCs/>
          <w:color w:val="000000" w:themeColor="text1"/>
          <w:sz w:val="28"/>
          <w:lang w:val="en-US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категории</w:t>
      </w:r>
      <w:r>
        <w:rPr>
          <w:color w:val="000000" w:themeColor="text1"/>
          <w:sz w:val="28"/>
          <w:szCs w:val="28"/>
          <w:lang w:val="en-US"/>
        </w:rPr>
        <w:t xml:space="preserve"> (</w:t>
      </w:r>
      <w:r>
        <w:rPr>
          <w:color w:val="000000" w:themeColor="text1"/>
          <w:sz w:val="28"/>
          <w:szCs w:val="28"/>
        </w:rPr>
        <w:t xml:space="preserve">признаков</w:t>
      </w:r>
      <w:r>
        <w:rPr>
          <w:color w:val="000000" w:themeColor="text1"/>
          <w:sz w:val="28"/>
          <w:szCs w:val="28"/>
          <w:lang w:val="en-US"/>
        </w:rPr>
        <w:t xml:space="preserve">)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обращении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заявителя</w:t>
      </w:r>
      <w:r>
        <w:rPr>
          <w:iCs/>
          <w:color w:val="000000" w:themeColor="text1"/>
          <w:sz w:val="28"/>
          <w:lang w:val="en-US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электронной почты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0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auto" w:themeColor="text1"/>
          <w:sz w:val="28"/>
        </w:rPr>
      </w:r>
      <w:r>
        <w:rPr>
          <w:iCs/>
          <w:color w:val="auto" w:themeColor="text1"/>
          <w:sz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 </w:t>
      </w:r>
      <w:r>
        <w:rPr>
          <w:b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способы ее взимания</w:t>
      </w:r>
      <w:r>
        <w:rPr>
          <w:b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 Взимание платы за предоставление Услуги законодательством Российской Федерации не предусмотрено.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 (ходатайство)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11. Срок регистрации заявления (ходатайства) и документов, необходимых для предоставления </w:t>
      </w:r>
      <w:r>
        <w:rPr>
          <w:color w:val="000000" w:themeColor="text1"/>
          <w:sz w:val="28"/>
          <w:szCs w:val="28"/>
        </w:rPr>
        <w:t xml:space="preserve">Услуги, составляет с даты подачи заявления (ходатайства) и документов, необходимых для предоставления Услуги: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в МФЦ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посредством электронной п</w:t>
      </w:r>
      <w:r>
        <w:rPr>
          <w:color w:val="000000" w:themeColor="text1"/>
          <w:sz w:val="28"/>
          <w:szCs w:val="28"/>
          <w:lang w:val="en-US"/>
        </w:rPr>
        <w:t xml:space="preserve">очты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–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1 рабочий день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заявления (ходатайство) и при получении результата предоставления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 Максимальный срок ожидания в очереди при подаче заявления (ходатайства)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 Максимальный срок ожидания в очереди при получении результата Услуги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 Требования к помещениям, в которых предоставляется Услуга, размещены на официальном сайте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</w:t>
      </w:r>
      <w:r>
        <w:rPr>
          <w:color w:val="000000" w:themeColor="text1"/>
          <w:sz w:val="28"/>
          <w:szCs w:val="28"/>
        </w:rPr>
        <w:t xml:space="preserve">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Показатели доступности и качества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 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Услуги, 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 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 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  <w:lang w:val="en-US"/>
        </w:rPr>
        <w:t xml:space="preserve">Федеральная государственная информационная система </w:t>
      </w:r>
      <w:r>
        <w:rPr>
          <w:color w:val="000000" w:themeColor="text1"/>
          <w:sz w:val="28"/>
          <w:szCs w:val="28"/>
          <w:lang w:val="en-US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color w:val="000000" w:themeColor="text1"/>
          <w:sz w:val="28"/>
          <w:szCs w:val="28"/>
        </w:rPr>
        <w:t xml:space="preserve">Единый портал;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  <w:t xml:space="preserve">в) </w:t>
      </w:r>
      <w:r>
        <w:rPr>
          <w:color w:val="000000" w:themeColor="text1"/>
          <w:sz w:val="28"/>
          <w:szCs w:val="28"/>
          <w:lang w:val="en-US"/>
        </w:rPr>
        <w:t xml:space="preserve">Федеральная государственная информационная система «Единая цифровая платформа «Национальная система пространственных данных»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18. </w:t>
      </w:r>
      <w:r>
        <w:rPr>
          <w:color w:val="000000" w:themeColor="text1"/>
          <w:sz w:val="28"/>
          <w:szCs w:val="28"/>
        </w:rPr>
        <w:t xml:space="preserve">Возможность </w:t>
      </w:r>
      <w:r>
        <w:rPr>
          <w:color w:val="000000" w:themeColor="text1"/>
          <w:sz w:val="28"/>
          <w:szCs w:val="28"/>
        </w:rPr>
        <w:t xml:space="preserve">получения Услуги в МФЦ предусмотрена при наличии соглашения о взаимодействии. Принятие МФЦ решения об отказе в приеме заявления (ходатайства) и документов и (или) информации, необходимых для предоставления Услуги, возможно в случае наличия оснований для от</w:t>
      </w:r>
      <w:r>
        <w:rPr>
          <w:color w:val="000000" w:themeColor="text1"/>
          <w:sz w:val="28"/>
          <w:szCs w:val="28"/>
        </w:rPr>
        <w:t xml:space="preserve">каза в приеме документов, предусмотренных административным регламентом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19. </w:t>
      </w:r>
      <w:r>
        <w:rPr>
          <w:color w:val="000000" w:themeColor="text1"/>
          <w:sz w:val="28"/>
          <w:szCs w:val="28"/>
        </w:rPr>
        <w:t xml:space="preserve">МФЦ осуществляет выдачу заявителю результата предоставления Услуги на бумажном носителе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20. Государственная услуга в отношении несовершеннолетних не предоставляется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pStyle w:val="1070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r>
        <w:rPr>
          <w:b/>
          <w:color w:val="000000" w:themeColor="text1"/>
          <w:sz w:val="28"/>
          <w:szCs w:val="28"/>
        </w:rPr>
        <w:t xml:space="preserve">необходимых для предоставления Услуги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21. В таблице 2 приложения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color w:val="000000" w:themeColor="text1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22. </w:t>
      </w:r>
      <w:r>
        <w:rPr>
          <w:color w:val="000000" w:themeColor="text1"/>
          <w:sz w:val="28"/>
          <w:szCs w:val="28"/>
        </w:rPr>
        <w:t xml:space="preserve">Н</w:t>
      </w:r>
      <w:r>
        <w:rPr>
          <w:color w:val="000000" w:themeColor="text1"/>
          <w:sz w:val="28"/>
          <w:szCs w:val="28"/>
        </w:rPr>
        <w:t xml:space="preserve">ормативный </w:t>
      </w:r>
      <w:r>
        <w:rPr>
          <w:color w:val="000000" w:themeColor="text1"/>
          <w:sz w:val="28"/>
          <w:szCs w:val="28"/>
        </w:rPr>
        <w:t xml:space="preserve">правовой акт, утверждающий форму</w:t>
      </w:r>
      <w:r>
        <w:rPr>
          <w:color w:val="000000" w:themeColor="text1"/>
          <w:sz w:val="28"/>
          <w:szCs w:val="28"/>
        </w:rPr>
        <w:t xml:space="preserve"> ходатайства, заявление о прекращении публичного сервитута,</w:t>
      </w:r>
      <w:r>
        <w:rPr>
          <w:color w:val="000000" w:themeColor="text1"/>
          <w:sz w:val="28"/>
          <w:szCs w:val="28"/>
        </w:rPr>
        <w:t xml:space="preserve"> приведены в приложении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right="-1"/>
        <w:jc w:val="center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</w:rPr>
        <w:t xml:space="preserve">Исчерпывающий </w:t>
      </w:r>
      <w:r>
        <w:rPr>
          <w:b/>
          <w:iCs/>
          <w:color w:val="000000" w:themeColor="text1"/>
          <w:sz w:val="28"/>
        </w:rPr>
        <w:t xml:space="preserve">перечень</w:t>
      </w:r>
      <w:r>
        <w:rPr>
          <w:b/>
          <w:color w:val="000000" w:themeColor="text1"/>
          <w:sz w:val="28"/>
          <w:szCs w:val="28"/>
        </w:rPr>
        <w:t xml:space="preserve"> оснований для отказа в приеме </w:t>
      </w:r>
      <w:r>
        <w:rPr>
          <w:b/>
          <w:color w:val="000000" w:themeColor="text1"/>
          <w:sz w:val="28"/>
          <w:szCs w:val="28"/>
        </w:rPr>
        <w:t xml:space="preserve">заявления </w:t>
      </w:r>
      <w:r>
        <w:rPr>
          <w:b/>
          <w:color w:val="000000" w:themeColor="text1"/>
          <w:sz w:val="28"/>
          <w:szCs w:val="28"/>
        </w:rPr>
        <w:t xml:space="preserve">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70"/>
        <w:ind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23. </w:t>
      </w:r>
      <w:r>
        <w:rPr>
          <w:color w:val="000000" w:themeColor="text1"/>
          <w:sz w:val="28"/>
          <w:szCs w:val="28"/>
        </w:rPr>
        <w:t xml:space="preserve">Решение об отказе в приеме заявления (ходатайства) и документов, необходимых для предоставления услуги, принимает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власти, МФЦ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 наличии следующих оснований: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документ, удостоверяющий личность, не представлен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  <w:lang w:val="en-US"/>
        </w:rPr>
        <w:t xml:space="preserve">) </w:t>
      </w:r>
      <w:r>
        <w:rPr>
          <w:iCs/>
          <w:color w:val="000000" w:themeColor="text1"/>
          <w:sz w:val="28"/>
          <w:lang w:val="en-US"/>
        </w:rPr>
        <w:t xml:space="preserve">не представлен документ, подтверждающий полномочия заявителя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24. 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а) в ходатайстве об установлении публичного сервитута отсутствуют сведения, предусмотренные статьей 39.41 </w:t>
      </w:r>
      <w:r>
        <w:rPr>
          <w:bCs/>
          <w:color w:val="000000" w:themeColor="text1"/>
          <w:sz w:val="28"/>
          <w:szCs w:val="28"/>
          <w:highlight w:val="none"/>
          <w:lang w:val="en-US"/>
        </w:rPr>
        <w:t xml:space="preserve">Земельного кодекса Российской Федерации</w:t>
      </w:r>
      <w:r>
        <w:rPr>
          <w:color w:val="000000" w:themeColor="text1"/>
          <w:sz w:val="28"/>
          <w:szCs w:val="28"/>
          <w:highlight w:val="none"/>
        </w:rPr>
        <w:t xml:space="preserve">, или содержащееся в ходатайстве об установлении публичного сервитута обоснование необходимости установления публичного сервитута не </w:t>
      </w:r>
      <w:r>
        <w:rPr>
          <w:color w:val="000000" w:themeColor="text1"/>
          <w:sz w:val="28"/>
          <w:szCs w:val="28"/>
          <w:highlight w:val="none"/>
        </w:rPr>
        <w:t xml:space="preserve">соответствует требованиям, установленным в соответствии с пунктами 2 и 3 статьи 39.41 </w:t>
      </w:r>
      <w:r>
        <w:rPr>
          <w:bCs/>
          <w:color w:val="000000" w:themeColor="text1"/>
          <w:sz w:val="28"/>
          <w:szCs w:val="28"/>
          <w:highlight w:val="none"/>
          <w:lang w:val="en-US"/>
        </w:rPr>
        <w:t xml:space="preserve">Земельного кодекса Российской Федерации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б) не соблюдены условия установления публичного сервитута, предусмотренные статьями 23 и 39.39 </w:t>
      </w:r>
      <w:r>
        <w:rPr>
          <w:bCs/>
          <w:color w:val="000000" w:themeColor="text1"/>
          <w:sz w:val="28"/>
          <w:szCs w:val="28"/>
          <w:highlight w:val="none"/>
          <w:lang w:val="en-US"/>
        </w:rPr>
        <w:t xml:space="preserve">Земельного кодекса Российской Федерации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none"/>
        </w:rPr>
        <w:t xml:space="preserve">) 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</w:t>
      </w:r>
      <w:r>
        <w:rPr>
          <w:color w:val="000000" w:themeColor="text1"/>
          <w:sz w:val="28"/>
          <w:szCs w:val="28"/>
          <w:highlight w:val="none"/>
        </w:rPr>
        <w:t xml:space="preserve">деленных зонах, в границах которых предлагается установить публичный сервитут;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г</w:t>
      </w:r>
      <w:r>
        <w:rPr>
          <w:color w:val="000000" w:themeColor="text1"/>
          <w:sz w:val="28"/>
          <w:szCs w:val="28"/>
          <w:highlight w:val="none"/>
        </w:rPr>
        <w:t xml:space="preserve">) 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</w:t>
      </w:r>
      <w:r>
        <w:rPr>
          <w:color w:val="000000" w:themeColor="text1"/>
          <w:sz w:val="28"/>
          <w:szCs w:val="28"/>
          <w:highlight w:val="none"/>
        </w:rPr>
        <w:t xml:space="preserve">троительства), ведения личного подсобного хозяйства, ведения гражданами садоводства или огородничества для собственных нужд, или одного года в отношении иных земельных участков (не применяется в отношении земельных участков, н</w:t>
      </w:r>
      <w:r>
        <w:rPr>
          <w:color w:val="000000" w:themeColor="text1"/>
          <w:sz w:val="28"/>
          <w:szCs w:val="28"/>
          <w:highlight w:val="none"/>
        </w:rPr>
        <w:t xml:space="preserve">аходящихся в государственной или муниципальной собственности и не предоставленных гражданам или юридическим лицам);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д</w:t>
      </w:r>
      <w:r>
        <w:rPr>
          <w:color w:val="000000" w:themeColor="text1"/>
          <w:sz w:val="28"/>
          <w:szCs w:val="28"/>
          <w:highlight w:val="none"/>
        </w:rPr>
        <w:t xml:space="preserve">) 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</w:t>
      </w:r>
      <w:r>
        <w:rPr>
          <w:color w:val="000000" w:themeColor="text1"/>
          <w:sz w:val="28"/>
          <w:szCs w:val="28"/>
          <w:highlight w:val="none"/>
        </w:rPr>
        <w:t xml:space="preserve">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) 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</w:t>
      </w:r>
      <w:r>
        <w:rPr>
          <w:color w:val="000000" w:themeColor="text1"/>
          <w:sz w:val="28"/>
          <w:szCs w:val="28"/>
          <w:highlight w:val="none"/>
        </w:rPr>
        <w:t xml:space="preserve">лях, предусмотренных подпунктами 1, 3 - 4.1 и 6 статьи 39.37 </w:t>
      </w:r>
      <w:r>
        <w:rPr>
          <w:bCs/>
          <w:color w:val="000000" w:themeColor="text1"/>
          <w:sz w:val="28"/>
          <w:szCs w:val="28"/>
          <w:highlight w:val="none"/>
          <w:lang w:val="en-US"/>
        </w:rPr>
        <w:t xml:space="preserve">Земельного кодекса Российской Федерации</w:t>
      </w:r>
      <w:r>
        <w:rPr>
          <w:color w:val="000000" w:themeColor="text1"/>
          <w:sz w:val="28"/>
          <w:szCs w:val="28"/>
          <w:highlight w:val="none"/>
        </w:rPr>
        <w:t xml:space="preserve"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</w:t>
      </w:r>
      <w:r>
        <w:rPr>
          <w:color w:val="000000" w:themeColor="text1"/>
          <w:sz w:val="28"/>
          <w:szCs w:val="28"/>
          <w:highlight w:val="none"/>
        </w:rPr>
        <w:t xml:space="preserve"> участков (частей) таких инженерных сооружений;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  <w:highlight w:val="none"/>
        </w:rPr>
        <w:t xml:space="preserve">ж) 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</w:t>
      </w:r>
      <w:r/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</w:t>
      </w:r>
      <w:r>
        <w:rPr>
          <w:color w:val="000000" w:themeColor="text1"/>
          <w:sz w:val="28"/>
          <w:szCs w:val="28"/>
          <w:highlight w:val="none"/>
        </w:rPr>
        <w:t xml:space="preserve">) 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</w:t>
      </w:r>
      <w:r>
        <w:rPr>
          <w:color w:val="000000" w:themeColor="text1"/>
          <w:sz w:val="28"/>
          <w:szCs w:val="28"/>
          <w:highlight w:val="none"/>
        </w:rPr>
        <w:t xml:space="preserve">изъятии такого земельного участка для государственных или муниципальных нужд.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25. Основания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приеме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заявления (ходатайства)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документов</w:t>
      </w:r>
      <w:r>
        <w:rPr>
          <w:bCs/>
          <w:color w:val="000000" w:themeColor="text1"/>
          <w:sz w:val="28"/>
          <w:szCs w:val="28"/>
          <w:lang w:val="en-US"/>
        </w:rPr>
        <w:t xml:space="preserve">, </w:t>
      </w:r>
      <w:r>
        <w:rPr>
          <w:bCs/>
          <w:color w:val="000000" w:themeColor="text1"/>
          <w:sz w:val="28"/>
          <w:szCs w:val="28"/>
        </w:rPr>
        <w:t xml:space="preserve">необходимых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  <w:lang w:val="en-US"/>
        </w:rPr>
        <w:t xml:space="preserve">,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основания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для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отказа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предоставлении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Услуги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с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учетом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категории</w:t>
      </w:r>
      <w:r>
        <w:rPr>
          <w:bCs/>
          <w:color w:val="000000" w:themeColor="text1"/>
          <w:sz w:val="28"/>
          <w:szCs w:val="28"/>
          <w:lang w:val="en-US"/>
        </w:rPr>
        <w:t xml:space="preserve"> (</w:t>
      </w:r>
      <w:r>
        <w:rPr>
          <w:bCs/>
          <w:color w:val="000000" w:themeColor="text1"/>
          <w:sz w:val="28"/>
          <w:szCs w:val="28"/>
        </w:rPr>
        <w:t xml:space="preserve">признаков</w:t>
      </w:r>
      <w:r>
        <w:rPr>
          <w:bCs/>
          <w:color w:val="000000" w:themeColor="text1"/>
          <w:sz w:val="28"/>
          <w:szCs w:val="28"/>
          <w:lang w:val="en-US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заявителя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приведены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таблице</w:t>
      </w:r>
      <w:r>
        <w:rPr>
          <w:bCs/>
          <w:color w:val="000000" w:themeColor="text1"/>
          <w:sz w:val="28"/>
          <w:szCs w:val="28"/>
          <w:lang w:val="en-US"/>
        </w:rPr>
        <w:t xml:space="preserve"> 3 </w:t>
      </w:r>
      <w:r>
        <w:rPr>
          <w:bCs/>
          <w:color w:val="000000" w:themeColor="text1"/>
          <w:sz w:val="28"/>
          <w:szCs w:val="28"/>
        </w:rPr>
        <w:t xml:space="preserve">приложения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настоящему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Административному</w:t>
      </w:r>
      <w:r>
        <w:rPr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регламенту</w:t>
      </w:r>
      <w:r>
        <w:rPr>
          <w:bCs/>
          <w:color w:val="000000" w:themeColor="text1"/>
          <w:sz w:val="28"/>
          <w:szCs w:val="28"/>
          <w:lang w:val="en-US"/>
        </w:rPr>
        <w:t xml:space="preserve">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2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 Состав, последовательность и сроки выполнения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 При предоставлении Услуги осуществляются следующие административные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  <w:lang w:val="en-US"/>
        </w:rPr>
        <w:t xml:space="preserve">рофилирование заявителя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  <w:lang w:val="en-US"/>
        </w:rPr>
        <w:t xml:space="preserve">рием заявления (ходатайства) и документов и (или) информации, необходимых для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</w:rPr>
        <w:t xml:space="preserve">) м</w:t>
      </w:r>
      <w:r>
        <w:rPr>
          <w:color w:val="000000" w:themeColor="text1"/>
          <w:sz w:val="28"/>
          <w:szCs w:val="28"/>
          <w:lang w:val="en-US"/>
        </w:rPr>
        <w:t xml:space="preserve">ежведомственное информационное взаимодействие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  <w:lang w:val="en-US"/>
        </w:rPr>
        <w:t xml:space="preserve">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val="en-US"/>
        </w:rPr>
        <w:t xml:space="preserve">д</w:t>
      </w:r>
      <w:r>
        <w:rPr>
          <w:color w:val="000000" w:themeColor="text1"/>
          <w:sz w:val="28"/>
          <w:szCs w:val="28"/>
        </w:rPr>
        <w:t xml:space="preserve">) п</w:t>
      </w:r>
      <w:r>
        <w:rPr>
          <w:color w:val="000000" w:themeColor="text1"/>
          <w:sz w:val="28"/>
          <w:szCs w:val="28"/>
          <w:lang w:val="en-US"/>
        </w:rPr>
        <w:t xml:space="preserve">редоставление результата Услуги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7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69"/>
        <w:ind w:firstLine="720"/>
        <w:jc w:val="center"/>
        <w:rPr>
          <w:b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  <w:highlight w:val="white"/>
        </w:rPr>
        <w:t xml:space="preserve">. Способы информирования заявителя об изменении статуса рассмотрения заявления (ходатайство)</w:t>
      </w: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</w:r>
    </w:p>
    <w:p>
      <w:pPr>
        <w:pStyle w:val="1069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73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27. Перечень способов информирования заявителя об изменении статуса рассмотрения заявления (ходатайство) о предоставлении Услуги: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 при личном обращении в 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б) посредством телефонной связи;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в) посредством электронной почты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г) посредством Единого портала.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000000" w:themeColor="text1"/>
                <w:sz w:val="28"/>
              </w:rPr>
              <w:t xml:space="preserve"> д</w:t>
            </w:r>
            <w:r>
              <w:rPr>
                <w:color w:val="000000" w:themeColor="text1"/>
                <w:sz w:val="28"/>
              </w:rPr>
              <w:t xml:space="preserve">епартамента имущества и земельных отношений Новосибирской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от __________№___________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</w:rPr>
        <w:t xml:space="preserve">ПЕРЕЧЕНЬ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условных обозначений и сокращений, идентификаторы категорий (признаков) за</w:t>
      </w:r>
      <w:r>
        <w:rPr>
          <w:b/>
          <w:color w:val="000000" w:themeColor="text1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  <w:r>
        <w:rPr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I. Перечень условных обозначений и сокращений</w:t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Условные обозначения: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ЕПГУ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(Единый портал)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Орган власти – департамент имущества и земельных отношений Новосибирской области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МФЦ -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многофункциональный центр предоставления государственных и муниципальных услуг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Почта - посредством почтовой связи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элПочта - посредством электронной почты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ИФ (ЕПГУ) - посредством заполнения интерактивной формы на Едином портале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 (п) - копия документа, заверенная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 - копия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О (1Э) - оригинал документа в одном экземпляре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СО - скан-образ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Э (укэп) - электронный документ, подписанный усиленной квалифицированной электронной подписью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Э - электронный документ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ЕГРН - Единый государственный реестр недвижимости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7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ЕГРЮЛ - Единый государственный реестр юридических лиц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73"/>
        <w:contextualSpacing w:val="0"/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  <w:lang w:eastAsia="ru-RU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  <w:sectPr>
          <w:headerReference w:type="default" r:id="rId10"/>
          <w:headerReference w:type="first" r:id="rId11"/>
          <w:footerReference w:type="first" r:id="rId12"/>
          <w:footnotePr/>
          <w:endnotePr/>
          <w:type w:val="nextPage"/>
          <w:pgSz w:w="11907" w:h="16840" w:orient="portrait"/>
          <w:pgMar w:top="-1135" w:right="567" w:bottom="824" w:left="1418" w:header="709" w:footer="709" w:gutter="0"/>
          <w:cols w:num="1" w:sep="0" w:space="709" w:equalWidth="1"/>
          <w:docGrid w:linePitch="360"/>
          <w:titlePg/>
        </w:sect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862"/>
        <w:ind w:left="0" w:firstLine="0"/>
        <w:jc w:val="center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II. 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482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176"/>
        <w:gridCol w:w="8906"/>
        <w:gridCol w:w="2136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Решение об установлении публичного сервитута / решение об отказе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1 статьи 39.40 Земельного кодекса РФ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2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3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4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4.1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5А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4.2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6А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  <w:t xml:space="preserve">юридическое лицо, предусмотренное подпунктом 5 статьи 39.40 Земельного кодекса РФ 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7А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уполномоченный 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п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редставитель заявителя</w:t>
            </w:r>
            <w:r>
              <w:rPr>
                <w:b w:val="0"/>
                <w:color w:val="000000" w:themeColor="text1"/>
                <w:sz w:val="20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8А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Решение о прекращении публичного сервитута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</w:rPr>
              <w:t xml:space="preserve">юридическое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  <w:r>
              <w:rPr>
                <w:b w:val="0"/>
                <w:color w:val="000000" w:themeColor="text1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физическое лицо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2Б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уполномоченный 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п</w:t>
            </w:r>
            <w:r>
              <w:rPr>
                <w:b w:val="0"/>
                <w:color w:val="000000" w:themeColor="text1"/>
                <w:sz w:val="20"/>
                <w:highlight w:val="none"/>
              </w:rPr>
              <w:t xml:space="preserve">редставитель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62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III. Исчерпывающий перечень документов, необходимых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для предоставления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color w:val="000000" w:themeColor="text1"/>
        </w:rPr>
      </w:pPr>
      <w:r>
        <w:rPr>
          <w:b/>
          <w:i w:val="0"/>
          <w:strike w:val="0"/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48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1519"/>
        <w:gridCol w:w="9665"/>
        <w:gridCol w:w="3271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8А, 3Б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паспорт</w:t>
            </w:r>
            <w:r>
              <w:rPr>
                <w:b/>
                <w:color w:val="000000" w:themeColor="text1"/>
                <w:sz w:val="20"/>
              </w:rPr>
              <w:t xml:space="preserve"> гражданина Российской Федерации</w:t>
            </w:r>
            <w:r>
              <w:rPr>
                <w:b/>
                <w:color w:val="000000" w:themeColor="text1"/>
                <w:sz w:val="20"/>
              </w:rPr>
              <w:t xml:space="preserve"> (</w:t>
            </w:r>
            <w:r>
              <w:rPr>
                <w:b/>
                <w:color w:val="000000" w:themeColor="text1"/>
                <w:sz w:val="20"/>
              </w:rPr>
              <w:t xml:space="preserve">иной</w:t>
            </w:r>
            <w:r>
              <w:rPr>
                <w:b/>
                <w:color w:val="000000" w:themeColor="text1"/>
                <w:sz w:val="20"/>
              </w:rPr>
              <w:t xml:space="preserve"> документ, удостоверяющий личность заявителя</w:t>
            </w:r>
            <w:r>
              <w:rPr>
                <w:b/>
                <w:color w:val="000000" w:themeColor="text1"/>
                <w:sz w:val="20"/>
              </w:rPr>
              <w:t xml:space="preserve">)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ИФ (ЕПГУ)=&gt;ЕПГУ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О(1Э)=&gt;МФЦ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О(1Э)</w:t>
            </w:r>
            <w:r>
              <w:rPr>
                <w:b/>
                <w:color w:val="000000" w:themeColor="text1"/>
                <w:sz w:val="20"/>
              </w:rPr>
              <w:t xml:space="preserve">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2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8А, 3Б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согласие на обработку и распространение персональных данных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(1Э)=&gt;МФЦ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3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8А, 3Б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документ, подтверждающий полномочия представителя</w:t>
            </w:r>
            <w:r>
              <w:rPr>
                <w:b/>
                <w:color w:val="000000" w:themeColor="text1"/>
                <w:sz w:val="20"/>
              </w:rPr>
              <w:t xml:space="preserve"> заявителя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или К(п)</w:t>
            </w:r>
            <w:r>
              <w:rPr>
                <w:b/>
                <w:color w:val="000000" w:themeColor="text1"/>
                <w:sz w:val="20"/>
              </w:rPr>
              <w:t xml:space="preserve">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 </w:t>
            </w:r>
            <w:r>
              <w:rPr>
                <w:b/>
                <w:color w:val="000000" w:themeColor="text1"/>
                <w:sz w:val="20"/>
              </w:rPr>
              <w:t xml:space="preserve">или К(п)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4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1А-8А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схема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</w:t>
            </w:r>
            <w:r>
              <w:rPr>
                <w:b/>
                <w:color w:val="000000" w:themeColor="text1"/>
                <w:sz w:val="20"/>
              </w:rPr>
              <w:t xml:space="preserve">сти (п</w:t>
            </w:r>
            <w:r>
              <w:rPr>
                <w:b/>
                <w:color w:val="000000" w:themeColor="text1"/>
                <w:sz w:val="20"/>
              </w:rPr>
              <w:t xml:space="preserve">одготовка схемы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</w:t>
            </w:r>
            <w:r>
              <w:rPr>
                <w:b/>
                <w:color w:val="000000" w:themeColor="text1"/>
                <w:sz w:val="20"/>
              </w:rPr>
              <w:t xml:space="preserve">онирование национальной системы пространственных данных, а также электронных сервисов указанной информационной системы</w:t>
            </w:r>
            <w:r>
              <w:rPr>
                <w:b/>
                <w:color w:val="000000" w:themeColor="text1"/>
                <w:sz w:val="20"/>
              </w:rPr>
              <w:t xml:space="preserve">)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5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1А, 3А-8А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соглашение о технических требованиях и условиях, подлежащих об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язательному исполнению при реконструкции, капитальном ремонте или сносе линейного объекта (в случае, если осуществление публичного сервитута повлечет необходимость реконструкции, капитального ремонта или сноса указанного линейного объекта)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6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1А, 3А-8А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документ, подтверждающий право на инженерное сооружение (если подано ходатайство об установлении публичного сервитута для реконструкции или эксплуатации указанного сооружения, реконструкции или капитального ремонта его участка (части), при условии, что та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кое право не зарегистрировано)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К(п)=&gt;МФЦ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 о прокладке, переустройстве, переносе инженерных коммуникаций, их эксплуатации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8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9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1А-3А, 7А, 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 о подключении (технологическом присоединении) к сетям инженерно-технического обеспечения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 и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размещение инженерного сооружения не предусмотрено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документами территориального планирования и документацией по планировке территории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color w:val="000000" w:themeColor="text1"/>
                <w:sz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  <w14:ligatures w14:val="none"/>
              </w:rPr>
            </w:r>
            <w:r>
              <w:rPr>
                <w:b/>
                <w:color w:val="000000" w:themeColor="text1"/>
                <w:sz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10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проект организации строительства, который является разделом проектной документации объекта капитального строительства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 случае, если ходатайство об установлении публичного сервитута подано в целях, предусмотренных подпунктом 2 статьи 39.37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Земельного кодекса РФ)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К(п)=&gt;Орган власти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(укэп)=&gt;элПочта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Э (укэп)=&gt;ЕПГУ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К(п)=&gt;МФ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кадастровый план территории (его фрагмент), на котором приводится изображение сравните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льных вариантов размещения инженерных сооружений (в случае строительства и реконструкции объектов, сооружений (инженерных сооружений), капитального ремонта сооружений при отсутствии для которых не требуется подготовка документации по планировке территории)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или 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или 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</w:pPr>
            <w:r>
              <w:rPr>
                <w:b/>
                <w:color w:val="000000" w:themeColor="text1"/>
                <w:sz w:val="20"/>
              </w:rPr>
              <w:t xml:space="preserve">Э или К=&gt;МФЦ</w:t>
            </w:r>
            <w:r>
              <w:rPr>
                <w:b/>
                <w:color w:val="000000" w:themeColor="text1"/>
                <w:sz w:val="20"/>
              </w:rPr>
            </w:r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расчеты, обосновывающие местоположение неотъемлемых технологических частей линейного объекта (если границы публичного сервитута превышают размеры соответствующих охранных зон)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  <w:t xml:space="preserve">О (1Э)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 (1Э)</w:t>
            </w:r>
            <w:r>
              <w:rPr>
                <w:b/>
                <w:color w:val="000000" w:themeColor="text1"/>
                <w:sz w:val="20"/>
              </w:rPr>
              <w:t xml:space="preserve">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 (укэп)=&gt;ЕПГУ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</w:pPr>
            <w:r>
              <w:rPr>
                <w:b/>
                <w:color w:val="000000" w:themeColor="text1"/>
                <w:sz w:val="20"/>
              </w:rPr>
              <w:t xml:space="preserve">О (1Э)</w:t>
            </w:r>
            <w:r>
              <w:rPr>
                <w:b/>
                <w:color w:val="000000" w:themeColor="text1"/>
                <w:sz w:val="20"/>
              </w:rPr>
              <w:t xml:space="preserve">=&gt;МФЦ</w:t>
            </w:r>
            <w:r>
              <w:rPr>
                <w:b/>
                <w:color w:val="000000" w:themeColor="text1"/>
                <w:sz w:val="20"/>
              </w:rPr>
            </w:r>
            <w:r/>
          </w:p>
        </w:tc>
      </w:tr>
      <w:tr>
        <w:tblPrEx/>
        <w:trPr/>
        <w:tc>
          <w:tcPr>
            <w:gridSpan w:val="4"/>
            <w:tcW w:w="1473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собственно инициативе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1А-8А, 1Б, 2Б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ЕГРН об объекте недвижимости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1А-8А, 1Б-3Б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ЕГРЮЛ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юридическом лице, являющемся заявителем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документа территориального планирования,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подтверждающая отнесение к объектам регионального значения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(если в соответствии с законодательством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о градостроительной деятельности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инженерные сооружения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подлежат отображению в них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выписка из документации по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планировки территории,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подтверждающая отнесение к объектам регионального значения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если в соответствии с законодательством о градостроительной деятельности для размещения инженерного сооружения, автомобильной дороги, железнодорожных путей требуется разработка документации по планировке территории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решение об утверждении программы комплексного развития систем коммунальной инфраструктуры поселения, муниципального округа, городского округа либо положения инвестиционных программ субъектов естественных монополий, организаций коммунального комплекса (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если подано ходатайство об установлении публичного сервитута в целях строительства или реконструкции инженерного сооружения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4А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решение об изъятии земельного участка для государственных нужд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договор, предусмотренный статьей 19 Федерального закона от 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(если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подано ходатайство об установлении публичного сервитута в целях, предусмотренных подпунктом 4.1 статьи 39.37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Земельного кодекса РФ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6А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договор, на основании которого осуществляются реконструкция, капитальный ремонт существующих линейных объектов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государственные программы, соглашения, предусматривающие создание и (или) развитие телекоммуникационной инфраструктуры, либо инвестиционный план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оператора связи, предусматривающего размещение или капитальный ремонт линий и сооружений связи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1Б-3Б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акт обследования территории (если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деятельность, для обеспечения которой установлен публичный сервитут, не осуществляется на протяжении двух и более лет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1Б-3Б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справка от ресурсоснабжающих организаций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(если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деятельность, для обеспечения которой установлен публичный сервитут, не осуществляется на протяжении двух и более лет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cW w:w="327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СО=&gt;элПочта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СО=&gt;ЕПГУ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К=&gt;МФЦ</w:t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r>
          </w:p>
        </w:tc>
      </w:tr>
    </w:tbl>
    <w:p>
      <w:pPr>
        <w:pStyle w:val="862"/>
        <w:ind w:left="0" w:firstLine="0"/>
        <w:jc w:val="center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62"/>
        <w:ind w:left="0" w:firstLine="0"/>
        <w:jc w:val="center"/>
        <w:spacing w:before="0" w:beforeAutospacing="0" w:after="0" w:afterAutospacing="0" w:line="238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IV. Исчерпывающий перечень основан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для отказа в приеме заявления (ходатайство) и документов,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62"/>
        <w:ind w:left="0" w:firstLine="0"/>
        <w:jc w:val="center"/>
        <w:spacing w:before="0" w:beforeAutospacing="0" w:after="0" w:afterAutospacing="0" w:line="238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необходимых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для предоставления Услуги, оснований для приостановления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предоставления Услуги или отказа в предоставле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нии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12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3304"/>
        <w:gridCol w:w="1711"/>
      </w:tblGrid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(ходатайство)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90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документ, удостоверяющий личность заявителя, не представлен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1А-8А, 1Б-3Б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не представлен документ, подтверждающий полномочия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8А, 3Б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</w:rPr>
              <w:t xml:space="preserve">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b w:val="0"/>
                <w:bCs w:val="0"/>
                <w:color w:val="000000" w:themeColor="text1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695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в хо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датайстве об установлении публичного сервитута отсутствуют сведения, предусмотренные статьей 39.41 Земельного кодекса РФ, или содержащееся в ходатайстве об установлении публичного сервитута обоснование необходимости установления публичного сервитута не соо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тветствует требованиям, установленным в соответствии с пунктами 2 и 3 статьи 39.41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Земельного кодекса РФ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не соблюдены условия установления публичного сервитута, предусмотренные статьями 23 и 39.39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Земельного кодекса РФ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енных зонах, в границах которых предлагается установить публичный сервитут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(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тельства), ведения личного подсобного хозяйства, ведения 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дящихся в государственной или муниципальной собственности и не предоставленных гражданам или юридическим лицам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с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г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предусмотренных подпунктами 1, 3 - 4.1 и 6 статьи 39.37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Земельного кодекса РФ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астков (частей) таких инженерных сооружений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1А-8А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ятии такого земельного участка для государственных или муниципальных нужд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4А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14:ligatures w14:val="none"/>
              </w:rPr>
            </w:r>
          </w:p>
        </w:tc>
      </w:tr>
    </w:tbl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  <w:sectPr>
          <w:footnotePr/>
          <w:endnotePr/>
          <w:type w:val="continuous"/>
          <w:pgSz w:w="16840" w:h="11907" w:orient="landscape"/>
          <w:pgMar w:top="1418" w:right="851" w:bottom="567" w:left="824" w:header="709" w:footer="709" w:gutter="0"/>
          <w:cols w:num="1" w:sep="0" w:space="709" w:equalWidth="1"/>
          <w:docGrid w:linePitch="360"/>
          <w:titlePg/>
        </w:sect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70"/>
        <w:gridCol w:w="4972"/>
      </w:tblGrid>
      <w:tr>
        <w:tblPrEx/>
        <w:trPr/>
        <w:tc>
          <w:tcPr>
            <w:textDirection w:val="lrTb"/>
            <w:noWrap w:val="false"/>
          </w:tcPr>
          <w:p>
            <w:pPr>
              <w:ind w:left="0" w:right="0" w:hanging="155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9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д</w:t>
            </w:r>
            <w:r>
              <w:rPr>
                <w:color w:val="000000" w:themeColor="text1"/>
                <w:sz w:val="28"/>
              </w:rPr>
              <w:t xml:space="preserve">епартамента имущества и земельных отношений Новосибирской области </w:t>
            </w:r>
            <w:r>
              <w:rPr>
                <w:color w:val="000000" w:themeColor="text1"/>
                <w:sz w:val="28"/>
              </w:rPr>
              <w:t xml:space="preserve">от ___________</w:t>
            </w:r>
            <w:r>
              <w:rPr>
                <w:color w:val="000000" w:themeColor="text1"/>
                <w:sz w:val="28"/>
              </w:rPr>
              <w:t xml:space="preserve"> №________________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V. </w:t>
      </w:r>
      <w:r>
        <w:rPr>
          <w:b/>
          <w:color w:val="000000" w:themeColor="text1"/>
          <w:sz w:val="28"/>
        </w:rPr>
        <w:t xml:space="preserve">Нормативные правовые</w:t>
      </w:r>
      <w:r>
        <w:rPr>
          <w:b/>
          <w:color w:val="000000" w:themeColor="text1"/>
          <w:sz w:val="28"/>
        </w:rPr>
        <w:t xml:space="preserve"> акт</w:t>
      </w:r>
      <w:r>
        <w:rPr>
          <w:b/>
          <w:color w:val="000000" w:themeColor="text1"/>
          <w:sz w:val="28"/>
        </w:rPr>
        <w:t xml:space="preserve">ы, утверждающие</w:t>
      </w:r>
      <w:r>
        <w:rPr>
          <w:b/>
          <w:color w:val="000000" w:themeColor="text1"/>
          <w:sz w:val="28"/>
        </w:rPr>
        <w:t xml:space="preserve"> форм</w:t>
      </w:r>
      <w:r>
        <w:rPr>
          <w:b/>
          <w:color w:val="000000" w:themeColor="text1"/>
          <w:sz w:val="28"/>
        </w:rPr>
        <w:t xml:space="preserve">ы документов, </w:t>
      </w:r>
      <w:r>
        <w:rPr>
          <w:color w:val="000000" w:themeColor="text1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highlight w:val="none"/>
        </w:rPr>
      </w:pPr>
      <w:r>
        <w:rPr>
          <w:b/>
          <w:color w:val="000000" w:themeColor="text1"/>
          <w:sz w:val="28"/>
        </w:rPr>
        <w:t xml:space="preserve">необходимых для предоставления Услуги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1. 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ребования к форме ходатайства об установлении публичного сервитута, содержанию обоснования необходимости установления публичного сервитута</w:t>
      </w:r>
      <w:r>
        <w:rPr>
          <w:color w:val="000000" w:themeColor="text1"/>
          <w:sz w:val="28"/>
          <w:szCs w:val="28"/>
        </w:rPr>
        <w:t xml:space="preserve"> утверждены п</w:t>
      </w:r>
      <w:r>
        <w:rPr>
          <w:color w:val="000000" w:themeColor="text1"/>
          <w:sz w:val="28"/>
          <w:szCs w:val="28"/>
        </w:rPr>
        <w:t xml:space="preserve">риказом Росреестра от 19.04.2022 № 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 Форма заявления о прекращении публичного сервитута: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tbl>
      <w:tblPr>
        <w:tblStyle w:val="896"/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4893"/>
        <w:gridCol w:w="5069"/>
      </w:tblGrid>
      <w:tr>
        <w:tblPrEx/>
        <w:trPr>
          <w:trHeight w:val="36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3" w:type="dxa"/>
            <w:textDirection w:val="lrTb"/>
            <w:noWrap w:val="false"/>
          </w:tcPr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юридических лиц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   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            (наименование ЮЛ)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ИНН 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ОГРН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Юр.адрес:_____________________________________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ind w:left="0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pStyle w:val="1074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Для физических лиц, в т.ч. ИП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 департамент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мущества и земельных отношений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                         (ФИО)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Паспорт серия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 номер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Выдан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(кем и когда)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 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Адрес места жительства: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Эл.почта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1074"/>
              <w:contextualSpacing w:val="0"/>
              <w:ind w:left="142" w:right="5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ЕГРИП (если обращается ИП) 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  <w:t xml:space="preserve">о прекращении публичного сервитута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ind w:firstLine="720"/>
        <w:rPr>
          <w:color w:val="000000" w:themeColor="text1"/>
        </w:rPr>
      </w:pPr>
      <w:r>
        <w:rPr>
          <w:color w:val="000000" w:themeColor="text1"/>
        </w:rPr>
        <w:t xml:space="preserve">Прошу прекратить публичный сервитут по основаниям, предусмотренным подпунктом ____ пункта 4 статьи 48 Земельного кодекса РФ.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Способ получения результата предоставления государственной услуги: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нарочно / почтовым отправлением / по электронной почте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(</w:t>
      </w:r>
      <w:r>
        <w:rPr>
          <w:rFonts w:ascii="Times New Roman" w:hAnsi="Times New Roman" w:eastAsia="Times New Roman" w:cs="Times New Roman"/>
          <w:b w:val="0"/>
          <w:i/>
          <w:iCs/>
          <w:strike w:val="0"/>
          <w:color w:val="000000" w:themeColor="text1"/>
          <w:sz w:val="22"/>
        </w:rPr>
        <w:t xml:space="preserve">выбрать нужное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2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Приложения: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«___»______________ 20___ г.        ____________             _________________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                                                                  </w:t>
      </w:r>
      <w:r>
        <w:rPr>
          <w:b w:val="0"/>
          <w:i w:val="0"/>
          <w:strike w:val="0"/>
          <w:color w:val="000000" w:themeColor="text1"/>
          <w:sz w:val="24"/>
        </w:rPr>
        <w:t xml:space="preserve">   </w:t>
      </w:r>
      <w:r>
        <w:rPr>
          <w:b w:val="0"/>
          <w:i w:val="0"/>
          <w:strike w:val="0"/>
          <w:color w:val="000000" w:themeColor="text1"/>
          <w:sz w:val="24"/>
        </w:rPr>
        <w:t xml:space="preserve">(</w:t>
      </w:r>
      <w:r>
        <w:rPr>
          <w:b w:val="0"/>
          <w:i w:val="0"/>
          <w:strike w:val="0"/>
          <w:color w:val="000000" w:themeColor="text1"/>
          <w:sz w:val="24"/>
        </w:rPr>
        <w:t xml:space="preserve">подпись)   </w:t>
      </w:r>
      <w:r>
        <w:rPr>
          <w:b w:val="0"/>
          <w:i w:val="0"/>
          <w:strike w:val="0"/>
          <w:color w:val="000000" w:themeColor="text1"/>
          <w:sz w:val="24"/>
        </w:rPr>
        <w:t xml:space="preserve">                     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</w:rPr>
        <w:t xml:space="preserve">/Ф.И.О./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righ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СОГЛАСИЕ</w:t>
      </w:r>
      <w:r>
        <w:rPr>
          <w:b w:val="0"/>
          <w:bCs w:val="0"/>
          <w:sz w:val="24"/>
          <w:szCs w:val="24"/>
        </w:rPr>
        <w:br/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субъекта персональных данных</w:t>
      </w:r>
      <w:r>
        <w:rPr>
          <w:rFonts w:hAnsi="Times New Roman" w:cs="Times New Roman"/>
          <w:b w:val="0"/>
          <w:bCs w:val="0"/>
          <w:color w:val="000000"/>
          <w:sz w:val="24"/>
          <w:szCs w:val="24"/>
        </w:rPr>
        <w:t xml:space="preserve"> на обработку и распространение его персональных данных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 серия _______ номер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 </w:t>
      </w:r>
      <w:r>
        <w:rPr>
          <w:rFonts w:hAnsi="Times New Roman" w:cs="Times New Roman"/>
          <w:color w:val="000000"/>
          <w:sz w:val="24"/>
          <w:szCs w:val="24"/>
        </w:rPr>
        <w:t xml:space="preserve">выдан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департаменту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 xml:space="preserve"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</w:t>
      </w:r>
      <w:r>
        <w:rPr>
          <w:rFonts w:hAnsi="Times New Roman" w:cs="Times New Roman"/>
          <w:color w:val="000000"/>
          <w:sz w:val="24"/>
          <w:szCs w:val="24"/>
        </w:rPr>
        <w:t xml:space="preserve">(далее – Закон РФ)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данных, а именно на совершение действий, предусмотренных </w:t>
      </w:r>
      <w:r>
        <w:rPr>
          <w:rFonts w:hAnsi="Times New Roman" w:cs="Times New Roman"/>
          <w:color w:val="000000"/>
          <w:sz w:val="24"/>
          <w:szCs w:val="24"/>
        </w:rPr>
        <w:t xml:space="preserve"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 Закона РФ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Цель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департаментом имущества и земельных отношений Новосибирской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 xml:space="preserve">оказание  государственной услуги</w:t>
      </w:r>
      <w:r>
        <w:rPr>
          <w:rFonts w:hAnsi="Times New Roman" w:cs="Times New Roman"/>
          <w:color w:val="000000"/>
          <w:sz w:val="24"/>
          <w:szCs w:val="24"/>
        </w:rPr>
        <w:t xml:space="preserve">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РФ.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Субъект персональных данных: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</w:t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(подпись)                                      (Ф. И. О.)</w:t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  <w:highlight w:val="none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highlight w:val="none"/>
        </w:rPr>
      </w:r>
      <w:r>
        <w:rPr>
          <w:rFonts w:hAnsi="Times New Roman" w:cs="Times New Roman"/>
          <w:color w:val="000000"/>
          <w:sz w:val="24"/>
          <w:szCs w:val="24"/>
        </w:rPr>
      </w:r>
      <w:r>
        <w:rPr>
          <w:rFonts w:hAnsi="Times New Roman" w:cs="Times New Roman"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highlight w:val="none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«</w:t>
      </w:r>
      <w:r>
        <w:rPr>
          <w:rFonts w:hAnsi="Times New Roman" w:cs="Times New Roman"/>
          <w:color w:val="000000"/>
          <w:sz w:val="24"/>
          <w:szCs w:val="24"/>
        </w:rPr>
        <w:t xml:space="preserve">_____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</w:t>
      </w:r>
      <w:r>
        <w:rPr>
          <w:rFonts w:hAnsi="Times New Roman" w:cs="Times New Roman"/>
          <w:color w:val="000000"/>
          <w:sz w:val="24"/>
          <w:szCs w:val="24"/>
        </w:rPr>
        <w:t xml:space="preserve">20____  г.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sectPr>
      <w:footnotePr/>
      <w:endnotePr/>
      <w:type w:val="nextPage"/>
      <w:pgSz w:w="11907" w:h="16840" w:orient="portrait"/>
      <w:pgMar w:top="-1418" w:right="567" w:bottom="540" w:left="851" w:header="709" w:footer="1065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71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fldSimple w:instr="PAGE \* MERGEFORMAT">
      <w:r>
        <w:t xml:space="preserve">1</w:t>
      </w:r>
    </w:fldSimple>
    <w:r/>
    <w:r/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jc w:val="lef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4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2">
    <w:name w:val="Heading 1"/>
    <w:basedOn w:val="1040"/>
    <w:next w:val="1040"/>
    <w:link w:val="8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63">
    <w:name w:val="Heading 1 Char"/>
    <w:link w:val="862"/>
    <w:uiPriority w:val="9"/>
    <w:rPr>
      <w:rFonts w:ascii="Arial" w:hAnsi="Arial" w:eastAsia="Arial" w:cs="Arial"/>
      <w:sz w:val="40"/>
      <w:szCs w:val="40"/>
    </w:rPr>
  </w:style>
  <w:style w:type="paragraph" w:styleId="864">
    <w:name w:val="Heading 2"/>
    <w:basedOn w:val="1040"/>
    <w:next w:val="1040"/>
    <w:link w:val="8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65">
    <w:name w:val="Heading 2 Char"/>
    <w:link w:val="864"/>
    <w:uiPriority w:val="9"/>
    <w:rPr>
      <w:rFonts w:ascii="Arial" w:hAnsi="Arial" w:eastAsia="Arial" w:cs="Arial"/>
      <w:sz w:val="34"/>
    </w:rPr>
  </w:style>
  <w:style w:type="paragraph" w:styleId="866">
    <w:name w:val="Heading 3"/>
    <w:basedOn w:val="1040"/>
    <w:next w:val="1040"/>
    <w:link w:val="8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7">
    <w:name w:val="Heading 3 Char"/>
    <w:link w:val="866"/>
    <w:uiPriority w:val="9"/>
    <w:rPr>
      <w:rFonts w:ascii="Arial" w:hAnsi="Arial" w:eastAsia="Arial" w:cs="Arial"/>
      <w:sz w:val="30"/>
      <w:szCs w:val="30"/>
    </w:rPr>
  </w:style>
  <w:style w:type="paragraph" w:styleId="868">
    <w:name w:val="Heading 4"/>
    <w:basedOn w:val="1040"/>
    <w:next w:val="1040"/>
    <w:link w:val="8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9">
    <w:name w:val="Heading 4 Char"/>
    <w:link w:val="868"/>
    <w:uiPriority w:val="9"/>
    <w:rPr>
      <w:rFonts w:ascii="Arial" w:hAnsi="Arial" w:eastAsia="Arial" w:cs="Arial"/>
      <w:b/>
      <w:bCs/>
      <w:sz w:val="26"/>
      <w:szCs w:val="26"/>
    </w:rPr>
  </w:style>
  <w:style w:type="paragraph" w:styleId="870">
    <w:name w:val="Heading 5"/>
    <w:basedOn w:val="1040"/>
    <w:next w:val="1040"/>
    <w:link w:val="8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71">
    <w:name w:val="Heading 5 Char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872">
    <w:name w:val="Heading 6"/>
    <w:basedOn w:val="1040"/>
    <w:next w:val="1040"/>
    <w:link w:val="8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73">
    <w:name w:val="Heading 6 Char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874">
    <w:name w:val="Heading 7"/>
    <w:basedOn w:val="1040"/>
    <w:next w:val="1040"/>
    <w:link w:val="8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5">
    <w:name w:val="Heading 7 Char"/>
    <w:link w:val="8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76">
    <w:name w:val="Heading 8"/>
    <w:basedOn w:val="1040"/>
    <w:next w:val="1040"/>
    <w:link w:val="8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7">
    <w:name w:val="Heading 8 Char"/>
    <w:link w:val="876"/>
    <w:uiPriority w:val="9"/>
    <w:rPr>
      <w:rFonts w:ascii="Arial" w:hAnsi="Arial" w:eastAsia="Arial" w:cs="Arial"/>
      <w:i/>
      <w:iCs/>
      <w:sz w:val="22"/>
      <w:szCs w:val="22"/>
    </w:rPr>
  </w:style>
  <w:style w:type="paragraph" w:styleId="878">
    <w:name w:val="Heading 9"/>
    <w:basedOn w:val="1040"/>
    <w:next w:val="1040"/>
    <w:link w:val="8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9">
    <w:name w:val="Heading 9 Char"/>
    <w:link w:val="878"/>
    <w:uiPriority w:val="9"/>
    <w:rPr>
      <w:rFonts w:ascii="Arial" w:hAnsi="Arial" w:eastAsia="Arial" w:cs="Arial"/>
      <w:i/>
      <w:iCs/>
      <w:sz w:val="21"/>
      <w:szCs w:val="21"/>
    </w:rPr>
  </w:style>
  <w:style w:type="paragraph" w:styleId="880">
    <w:name w:val="List Paragraph"/>
    <w:basedOn w:val="1040"/>
    <w:uiPriority w:val="34"/>
    <w:qFormat/>
    <w:pPr>
      <w:contextualSpacing/>
      <w:ind w:left="720"/>
    </w:pPr>
  </w:style>
  <w:style w:type="paragraph" w:styleId="881">
    <w:name w:val="No Spacing"/>
    <w:uiPriority w:val="1"/>
    <w:qFormat/>
    <w:pPr>
      <w:spacing w:before="0" w:after="0" w:line="240" w:lineRule="auto"/>
    </w:pPr>
  </w:style>
  <w:style w:type="paragraph" w:styleId="882">
    <w:name w:val="Title"/>
    <w:basedOn w:val="1040"/>
    <w:next w:val="1040"/>
    <w:link w:val="8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3">
    <w:name w:val="Title Char"/>
    <w:link w:val="882"/>
    <w:uiPriority w:val="10"/>
    <w:rPr>
      <w:sz w:val="48"/>
      <w:szCs w:val="48"/>
    </w:rPr>
  </w:style>
  <w:style w:type="paragraph" w:styleId="884">
    <w:name w:val="Subtitle"/>
    <w:basedOn w:val="1040"/>
    <w:next w:val="1040"/>
    <w:link w:val="885"/>
    <w:uiPriority w:val="11"/>
    <w:qFormat/>
    <w:pPr>
      <w:spacing w:before="200" w:after="200"/>
    </w:pPr>
    <w:rPr>
      <w:sz w:val="24"/>
      <w:szCs w:val="24"/>
    </w:rPr>
  </w:style>
  <w:style w:type="character" w:styleId="885">
    <w:name w:val="Subtitle Char"/>
    <w:link w:val="884"/>
    <w:uiPriority w:val="11"/>
    <w:rPr>
      <w:sz w:val="24"/>
      <w:szCs w:val="24"/>
    </w:rPr>
  </w:style>
  <w:style w:type="paragraph" w:styleId="886">
    <w:name w:val="Quote"/>
    <w:basedOn w:val="1040"/>
    <w:next w:val="1040"/>
    <w:link w:val="887"/>
    <w:uiPriority w:val="29"/>
    <w:qFormat/>
    <w:pPr>
      <w:ind w:left="720" w:right="720"/>
    </w:pPr>
    <w:rPr>
      <w:i/>
    </w:rPr>
  </w:style>
  <w:style w:type="character" w:styleId="887">
    <w:name w:val="Quote Char"/>
    <w:link w:val="886"/>
    <w:uiPriority w:val="29"/>
    <w:rPr>
      <w:i/>
    </w:rPr>
  </w:style>
  <w:style w:type="paragraph" w:styleId="888">
    <w:name w:val="Intense Quote"/>
    <w:basedOn w:val="1040"/>
    <w:next w:val="1040"/>
    <w:link w:val="8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9">
    <w:name w:val="Intense Quote Char"/>
    <w:link w:val="888"/>
    <w:uiPriority w:val="30"/>
    <w:rPr>
      <w:i/>
    </w:rPr>
  </w:style>
  <w:style w:type="paragraph" w:styleId="890">
    <w:name w:val="Header"/>
    <w:basedOn w:val="1040"/>
    <w:link w:val="8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1">
    <w:name w:val="Header Char"/>
    <w:link w:val="890"/>
    <w:uiPriority w:val="99"/>
  </w:style>
  <w:style w:type="paragraph" w:styleId="892">
    <w:name w:val="Footer"/>
    <w:basedOn w:val="1040"/>
    <w:link w:val="8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3">
    <w:name w:val="Footer Char"/>
    <w:link w:val="892"/>
    <w:uiPriority w:val="99"/>
  </w:style>
  <w:style w:type="paragraph" w:styleId="894">
    <w:name w:val="Caption"/>
    <w:basedOn w:val="1040"/>
    <w:next w:val="1040"/>
    <w:link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5">
    <w:name w:val="Caption Char"/>
    <w:basedOn w:val="894"/>
    <w:link w:val="892"/>
    <w:uiPriority w:val="99"/>
  </w:style>
  <w:style w:type="table" w:styleId="8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2">
    <w:name w:val="Hyperlink"/>
    <w:uiPriority w:val="99"/>
    <w:unhideWhenUsed/>
    <w:rPr>
      <w:color w:val="0000ff" w:themeColor="hyperlink"/>
      <w:u w:val="single"/>
    </w:rPr>
  </w:style>
  <w:style w:type="paragraph" w:styleId="1023">
    <w:name w:val="footnote text"/>
    <w:basedOn w:val="1040"/>
    <w:link w:val="1024"/>
    <w:uiPriority w:val="99"/>
    <w:semiHidden/>
    <w:unhideWhenUsed/>
    <w:pPr>
      <w:spacing w:after="40" w:line="240" w:lineRule="auto"/>
    </w:pPr>
    <w:rPr>
      <w:sz w:val="18"/>
    </w:rPr>
  </w:style>
  <w:style w:type="character" w:styleId="1024">
    <w:name w:val="Footnote Text Char"/>
    <w:link w:val="1023"/>
    <w:uiPriority w:val="99"/>
    <w:rPr>
      <w:sz w:val="18"/>
    </w:rPr>
  </w:style>
  <w:style w:type="character" w:styleId="1025">
    <w:name w:val="footnote reference"/>
    <w:uiPriority w:val="99"/>
    <w:unhideWhenUsed/>
    <w:rPr>
      <w:vertAlign w:val="superscript"/>
    </w:rPr>
  </w:style>
  <w:style w:type="paragraph" w:styleId="1026">
    <w:name w:val="endnote text"/>
    <w:basedOn w:val="1040"/>
    <w:link w:val="1027"/>
    <w:uiPriority w:val="99"/>
    <w:semiHidden/>
    <w:unhideWhenUsed/>
    <w:pPr>
      <w:spacing w:after="0" w:line="240" w:lineRule="auto"/>
    </w:pPr>
    <w:rPr>
      <w:sz w:val="20"/>
    </w:rPr>
  </w:style>
  <w:style w:type="character" w:styleId="1027">
    <w:name w:val="Endnote Text Char"/>
    <w:link w:val="1026"/>
    <w:uiPriority w:val="99"/>
    <w:rPr>
      <w:sz w:val="20"/>
    </w:rPr>
  </w:style>
  <w:style w:type="character" w:styleId="1028">
    <w:name w:val="endnote reference"/>
    <w:uiPriority w:val="99"/>
    <w:semiHidden/>
    <w:unhideWhenUsed/>
    <w:rPr>
      <w:vertAlign w:val="superscript"/>
    </w:rPr>
  </w:style>
  <w:style w:type="paragraph" w:styleId="1029">
    <w:name w:val="toc 1"/>
    <w:basedOn w:val="1040"/>
    <w:next w:val="1040"/>
    <w:uiPriority w:val="39"/>
    <w:unhideWhenUsed/>
    <w:pPr>
      <w:ind w:left="0" w:right="0" w:firstLine="0"/>
      <w:spacing w:after="57"/>
    </w:pPr>
  </w:style>
  <w:style w:type="paragraph" w:styleId="1030">
    <w:name w:val="toc 2"/>
    <w:basedOn w:val="1040"/>
    <w:next w:val="1040"/>
    <w:uiPriority w:val="39"/>
    <w:unhideWhenUsed/>
    <w:pPr>
      <w:ind w:left="283" w:right="0" w:firstLine="0"/>
      <w:spacing w:after="57"/>
    </w:pPr>
  </w:style>
  <w:style w:type="paragraph" w:styleId="1031">
    <w:name w:val="toc 3"/>
    <w:basedOn w:val="1040"/>
    <w:next w:val="1040"/>
    <w:uiPriority w:val="39"/>
    <w:unhideWhenUsed/>
    <w:pPr>
      <w:ind w:left="567" w:right="0" w:firstLine="0"/>
      <w:spacing w:after="57"/>
    </w:pPr>
  </w:style>
  <w:style w:type="paragraph" w:styleId="1032">
    <w:name w:val="toc 4"/>
    <w:basedOn w:val="1040"/>
    <w:next w:val="1040"/>
    <w:uiPriority w:val="39"/>
    <w:unhideWhenUsed/>
    <w:pPr>
      <w:ind w:left="850" w:right="0" w:firstLine="0"/>
      <w:spacing w:after="57"/>
    </w:pPr>
  </w:style>
  <w:style w:type="paragraph" w:styleId="1033">
    <w:name w:val="toc 5"/>
    <w:basedOn w:val="1040"/>
    <w:next w:val="1040"/>
    <w:uiPriority w:val="39"/>
    <w:unhideWhenUsed/>
    <w:pPr>
      <w:ind w:left="1134" w:right="0" w:firstLine="0"/>
      <w:spacing w:after="57"/>
    </w:pPr>
  </w:style>
  <w:style w:type="paragraph" w:styleId="1034">
    <w:name w:val="toc 6"/>
    <w:basedOn w:val="1040"/>
    <w:next w:val="1040"/>
    <w:uiPriority w:val="39"/>
    <w:unhideWhenUsed/>
    <w:pPr>
      <w:ind w:left="1417" w:right="0" w:firstLine="0"/>
      <w:spacing w:after="57"/>
    </w:pPr>
  </w:style>
  <w:style w:type="paragraph" w:styleId="1035">
    <w:name w:val="toc 7"/>
    <w:basedOn w:val="1040"/>
    <w:next w:val="1040"/>
    <w:uiPriority w:val="39"/>
    <w:unhideWhenUsed/>
    <w:pPr>
      <w:ind w:left="1701" w:right="0" w:firstLine="0"/>
      <w:spacing w:after="57"/>
    </w:pPr>
  </w:style>
  <w:style w:type="paragraph" w:styleId="1036">
    <w:name w:val="toc 8"/>
    <w:basedOn w:val="1040"/>
    <w:next w:val="1040"/>
    <w:uiPriority w:val="39"/>
    <w:unhideWhenUsed/>
    <w:pPr>
      <w:ind w:left="1984" w:right="0" w:firstLine="0"/>
      <w:spacing w:after="57"/>
    </w:pPr>
  </w:style>
  <w:style w:type="paragraph" w:styleId="1037">
    <w:name w:val="toc 9"/>
    <w:basedOn w:val="1040"/>
    <w:next w:val="1040"/>
    <w:uiPriority w:val="39"/>
    <w:unhideWhenUsed/>
    <w:pPr>
      <w:ind w:left="2268" w:right="0" w:firstLine="0"/>
      <w:spacing w:after="57"/>
    </w:pPr>
  </w:style>
  <w:style w:type="paragraph" w:styleId="1038">
    <w:name w:val="TOC Heading"/>
    <w:uiPriority w:val="39"/>
    <w:unhideWhenUsed/>
  </w:style>
  <w:style w:type="paragraph" w:styleId="1039">
    <w:name w:val="table of figures"/>
    <w:basedOn w:val="1040"/>
    <w:next w:val="1040"/>
    <w:uiPriority w:val="99"/>
    <w:unhideWhenUsed/>
    <w:pPr>
      <w:spacing w:after="0" w:afterAutospacing="0"/>
    </w:pPr>
  </w:style>
  <w:style w:type="paragraph" w:styleId="1040" w:default="1">
    <w:name w:val="Normal"/>
    <w:next w:val="1040"/>
    <w:link w:val="1040"/>
    <w:qFormat/>
    <w:rPr>
      <w:sz w:val="24"/>
      <w:szCs w:val="24"/>
      <w:lang w:val="ru-RU" w:eastAsia="ru-RU" w:bidi="ar-SA"/>
    </w:rPr>
  </w:style>
  <w:style w:type="character" w:styleId="1041">
    <w:name w:val="Основной шрифт абзаца"/>
    <w:next w:val="1041"/>
    <w:link w:val="1040"/>
    <w:semiHidden/>
  </w:style>
  <w:style w:type="table" w:styleId="1042">
    <w:name w:val="Обычная таблица"/>
    <w:next w:val="1042"/>
    <w:link w:val="1040"/>
    <w:semiHidden/>
    <w:tblPr/>
  </w:style>
  <w:style w:type="numbering" w:styleId="1043">
    <w:name w:val="Нет списка"/>
    <w:next w:val="1043"/>
    <w:link w:val="1040"/>
    <w:semiHidden/>
  </w:style>
  <w:style w:type="paragraph" w:styleId="1044">
    <w:name w:val="заголовок 4"/>
    <w:basedOn w:val="1040"/>
    <w:next w:val="1040"/>
    <w:link w:val="1040"/>
    <w:pPr>
      <w:jc w:val="center"/>
      <w:keepNext/>
    </w:pPr>
    <w:rPr>
      <w:b/>
      <w:bCs/>
    </w:rPr>
  </w:style>
  <w:style w:type="paragraph" w:styleId="1045">
    <w:name w:val="заголовок 5"/>
    <w:basedOn w:val="1040"/>
    <w:next w:val="1040"/>
    <w:link w:val="1040"/>
    <w:pPr>
      <w:jc w:val="center"/>
      <w:keepNext/>
    </w:pPr>
    <w:rPr>
      <w:sz w:val="24"/>
      <w:szCs w:val="24"/>
    </w:rPr>
  </w:style>
  <w:style w:type="paragraph" w:styleId="1046">
    <w:name w:val="заголовок 6"/>
    <w:basedOn w:val="1040"/>
    <w:next w:val="1040"/>
    <w:link w:val="1040"/>
    <w:pPr>
      <w:jc w:val="center"/>
      <w:keepNext/>
    </w:pPr>
  </w:style>
  <w:style w:type="character" w:styleId="1047">
    <w:name w:val="Основной шрифт"/>
    <w:next w:val="1047"/>
    <w:link w:val="1040"/>
  </w:style>
  <w:style w:type="paragraph" w:styleId="1048">
    <w:name w:val="Верхний колонтитул"/>
    <w:basedOn w:val="1040"/>
    <w:next w:val="1048"/>
    <w:link w:val="1040"/>
    <w:pPr>
      <w:tabs>
        <w:tab w:val="center" w:pos="4153" w:leader="none"/>
        <w:tab w:val="right" w:pos="8306" w:leader="none"/>
      </w:tabs>
    </w:pPr>
  </w:style>
  <w:style w:type="paragraph" w:styleId="1049">
    <w:name w:val="Письмо главы"/>
    <w:basedOn w:val="1040"/>
    <w:next w:val="1049"/>
    <w:link w:val="1040"/>
    <w:pPr>
      <w:ind w:firstLine="709"/>
      <w:jc w:val="both"/>
    </w:pPr>
  </w:style>
  <w:style w:type="paragraph" w:styleId="1050">
    <w:name w:val="Нижний колонтитул"/>
    <w:basedOn w:val="1040"/>
    <w:next w:val="1050"/>
    <w:link w:val="1040"/>
    <w:pPr>
      <w:tabs>
        <w:tab w:val="center" w:pos="4153" w:leader="none"/>
        <w:tab w:val="right" w:pos="8306" w:leader="none"/>
      </w:tabs>
    </w:pPr>
  </w:style>
  <w:style w:type="character" w:styleId="1051">
    <w:name w:val="номер страницы"/>
    <w:basedOn w:val="1047"/>
    <w:next w:val="1051"/>
    <w:link w:val="1040"/>
  </w:style>
  <w:style w:type="paragraph" w:styleId="1052">
    <w:name w:val="Основной текст"/>
    <w:basedOn w:val="1040"/>
    <w:next w:val="1052"/>
    <w:link w:val="1040"/>
    <w:pPr>
      <w:jc w:val="both"/>
    </w:pPr>
    <w:rPr>
      <w:sz w:val="24"/>
      <w:szCs w:val="24"/>
    </w:rPr>
  </w:style>
  <w:style w:type="character" w:styleId="1053">
    <w:name w:val="Гиперссылка"/>
    <w:next w:val="1053"/>
    <w:link w:val="1040"/>
    <w:rPr>
      <w:color w:val="0000ff"/>
      <w:u w:val="single"/>
    </w:rPr>
  </w:style>
  <w:style w:type="paragraph" w:styleId="1054">
    <w:name w:val="Основной текст с отступом"/>
    <w:basedOn w:val="1040"/>
    <w:next w:val="1054"/>
    <w:link w:val="1040"/>
    <w:pPr>
      <w:jc w:val="center"/>
    </w:pPr>
    <w:rPr>
      <w:b/>
      <w:bCs/>
      <w:sz w:val="26"/>
      <w:szCs w:val="26"/>
    </w:rPr>
  </w:style>
  <w:style w:type="paragraph" w:styleId="1055">
    <w:name w:val="Основной текст с отступом 2"/>
    <w:basedOn w:val="1040"/>
    <w:next w:val="1055"/>
    <w:link w:val="1040"/>
    <w:pPr>
      <w:ind w:left="360"/>
      <w:jc w:val="both"/>
    </w:pPr>
  </w:style>
  <w:style w:type="paragraph" w:styleId="1056">
    <w:name w:val="Основной текст 3"/>
    <w:basedOn w:val="1040"/>
    <w:next w:val="1056"/>
    <w:link w:val="1040"/>
    <w:pPr>
      <w:jc w:val="center"/>
    </w:pPr>
    <w:rPr>
      <w:b/>
      <w:bCs/>
    </w:rPr>
  </w:style>
  <w:style w:type="paragraph" w:styleId="1057">
    <w:name w:val="Основной текст с отступом 3"/>
    <w:basedOn w:val="1040"/>
    <w:next w:val="1057"/>
    <w:link w:val="1040"/>
    <w:pPr>
      <w:ind w:left="-142" w:firstLine="851"/>
      <w:jc w:val="both"/>
    </w:pPr>
  </w:style>
  <w:style w:type="character" w:styleId="1058">
    <w:name w:val="Просмотренная гиперссылка"/>
    <w:next w:val="1058"/>
    <w:link w:val="1040"/>
    <w:rPr>
      <w:color w:val="800080"/>
      <w:u w:val="single"/>
    </w:rPr>
  </w:style>
  <w:style w:type="paragraph" w:styleId="1059">
    <w:name w:val="Титул"/>
    <w:next w:val="1059"/>
    <w:link w:val="1040"/>
    <w:pPr>
      <w:jc w:val="center"/>
    </w:pPr>
    <w:rPr>
      <w:sz w:val="28"/>
      <w:szCs w:val="28"/>
      <w:lang w:val="ru-RU" w:eastAsia="ru-RU" w:bidi="ar-SA"/>
    </w:rPr>
  </w:style>
  <w:style w:type="paragraph" w:styleId="1060">
    <w:name w:val="Style4"/>
    <w:basedOn w:val="1040"/>
    <w:next w:val="1060"/>
    <w:link w:val="1040"/>
    <w:pPr>
      <w:widowControl w:val="off"/>
    </w:pPr>
  </w:style>
  <w:style w:type="paragraph" w:styleId="1061">
    <w:name w:val="Текст выноски"/>
    <w:basedOn w:val="1040"/>
    <w:next w:val="1061"/>
    <w:link w:val="1062"/>
    <w:rPr>
      <w:rFonts w:ascii="Tahoma" w:hAnsi="Tahoma" w:cs="Tahoma"/>
      <w:sz w:val="16"/>
      <w:szCs w:val="16"/>
    </w:rPr>
  </w:style>
  <w:style w:type="character" w:styleId="1062">
    <w:name w:val="Текст выноски Знак"/>
    <w:next w:val="1062"/>
    <w:link w:val="1061"/>
    <w:rPr>
      <w:rFonts w:ascii="Tahoma" w:hAnsi="Tahoma" w:cs="Tahoma"/>
      <w:sz w:val="16"/>
      <w:szCs w:val="16"/>
    </w:rPr>
  </w:style>
  <w:style w:type="character" w:styleId="1063" w:default="1">
    <w:name w:val="Default Paragraph Font"/>
    <w:uiPriority w:val="1"/>
    <w:semiHidden/>
    <w:unhideWhenUsed/>
  </w:style>
  <w:style w:type="numbering" w:styleId="1064" w:default="1">
    <w:name w:val="No List"/>
    <w:uiPriority w:val="99"/>
    <w:semiHidden/>
    <w:unhideWhenUsed/>
  </w:style>
  <w:style w:type="table" w:styleId="1065" w:default="1">
    <w:name w:val="Normal Table"/>
    <w:uiPriority w:val="99"/>
    <w:semiHidden/>
    <w:unhideWhenUsed/>
    <w:tblPr/>
  </w:style>
  <w:style w:type="paragraph" w:styleId="1066" w:customStyle="1">
    <w:name w:val="paragraph"/>
    <w:basedOn w:val="937"/>
    <w:link w:val="93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7" w:customStyle="1">
    <w:name w:val="Footnote_de1ec88f-7d25-4d34-a4df-31fe14573ec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8" w:customStyle="1">
    <w:name w:val="List Paragraph_4dd90a87-3bcc-4fc6-9eb6-fdc6e79e531e"/>
    <w:basedOn w:val="98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9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0" w:customStyle="1">
    <w:name w:val="List Paragraph_73b77f04-107b-41b2-82dd-0e74228a7ab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1" w:customStyle="1">
    <w:name w:val="Footnote_7832dde6-e222-4d3a-a7c4-b38a34fdaa0b"/>
    <w:basedOn w:val="87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2" w:customStyle="1">
    <w:name w:val="Normal_ea24a136-c5d1-4e1c-98de-aa804162ae2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07" w:default="1">
    <w:name w:val="Normal"/>
    <w:qFormat/>
  </w:style>
  <w:style w:type="character" w:styleId="1508" w:default="1">
    <w:name w:val="Default Paragraph Font"/>
    <w:uiPriority w:val="1"/>
    <w:semiHidden/>
    <w:unhideWhenUsed/>
  </w:style>
  <w:style w:type="numbering" w:styleId="1509" w:default="1">
    <w:name w:val="No List"/>
    <w:uiPriority w:val="99"/>
    <w:semiHidden/>
    <w:unhideWhenUsed/>
  </w:style>
  <w:style w:type="paragraph" w:styleId="1510">
    <w:name w:val="Heading 1"/>
    <w:basedOn w:val="1507"/>
    <w:next w:val="1507"/>
    <w:link w:val="15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11">
    <w:name w:val="Heading 1 Char"/>
    <w:basedOn w:val="1508"/>
    <w:link w:val="1510"/>
    <w:uiPriority w:val="9"/>
    <w:rPr>
      <w:rFonts w:ascii="Arial" w:hAnsi="Arial" w:eastAsia="Arial" w:cs="Arial"/>
      <w:sz w:val="40"/>
      <w:szCs w:val="40"/>
    </w:rPr>
  </w:style>
  <w:style w:type="paragraph" w:styleId="1512">
    <w:name w:val="Heading 2"/>
    <w:basedOn w:val="1507"/>
    <w:next w:val="1507"/>
    <w:link w:val="15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13">
    <w:name w:val="Heading 2 Char"/>
    <w:basedOn w:val="1508"/>
    <w:link w:val="1512"/>
    <w:uiPriority w:val="9"/>
    <w:rPr>
      <w:rFonts w:ascii="Arial" w:hAnsi="Arial" w:eastAsia="Arial" w:cs="Arial"/>
      <w:sz w:val="34"/>
    </w:rPr>
  </w:style>
  <w:style w:type="paragraph" w:styleId="1514">
    <w:name w:val="Heading 3"/>
    <w:basedOn w:val="1507"/>
    <w:next w:val="1507"/>
    <w:link w:val="15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515">
    <w:name w:val="Heading 3 Char"/>
    <w:basedOn w:val="1508"/>
    <w:link w:val="1514"/>
    <w:uiPriority w:val="9"/>
    <w:rPr>
      <w:rFonts w:ascii="Arial" w:hAnsi="Arial" w:eastAsia="Arial" w:cs="Arial"/>
      <w:sz w:val="30"/>
      <w:szCs w:val="30"/>
    </w:rPr>
  </w:style>
  <w:style w:type="paragraph" w:styleId="1516">
    <w:name w:val="Heading 4"/>
    <w:basedOn w:val="1507"/>
    <w:next w:val="1507"/>
    <w:link w:val="15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17">
    <w:name w:val="Heading 4 Char"/>
    <w:basedOn w:val="1508"/>
    <w:link w:val="1516"/>
    <w:uiPriority w:val="9"/>
    <w:rPr>
      <w:rFonts w:ascii="Arial" w:hAnsi="Arial" w:eastAsia="Arial" w:cs="Arial"/>
      <w:b/>
      <w:bCs/>
      <w:sz w:val="26"/>
      <w:szCs w:val="26"/>
    </w:rPr>
  </w:style>
  <w:style w:type="paragraph" w:styleId="1518">
    <w:name w:val="Heading 5"/>
    <w:basedOn w:val="1507"/>
    <w:next w:val="1507"/>
    <w:link w:val="15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19">
    <w:name w:val="Heading 5 Char"/>
    <w:basedOn w:val="1508"/>
    <w:link w:val="1518"/>
    <w:uiPriority w:val="9"/>
    <w:rPr>
      <w:rFonts w:ascii="Arial" w:hAnsi="Arial" w:eastAsia="Arial" w:cs="Arial"/>
      <w:b/>
      <w:bCs/>
      <w:sz w:val="24"/>
      <w:szCs w:val="24"/>
    </w:rPr>
  </w:style>
  <w:style w:type="paragraph" w:styleId="1520">
    <w:name w:val="Heading 6"/>
    <w:basedOn w:val="1507"/>
    <w:next w:val="1507"/>
    <w:link w:val="15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21">
    <w:name w:val="Heading 6 Char"/>
    <w:basedOn w:val="1508"/>
    <w:link w:val="1520"/>
    <w:uiPriority w:val="9"/>
    <w:rPr>
      <w:rFonts w:ascii="Arial" w:hAnsi="Arial" w:eastAsia="Arial" w:cs="Arial"/>
      <w:b/>
      <w:bCs/>
      <w:sz w:val="22"/>
      <w:szCs w:val="22"/>
    </w:rPr>
  </w:style>
  <w:style w:type="paragraph" w:styleId="1522">
    <w:name w:val="Heading 7"/>
    <w:basedOn w:val="1507"/>
    <w:next w:val="1507"/>
    <w:link w:val="15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23">
    <w:name w:val="Heading 7 Char"/>
    <w:basedOn w:val="1508"/>
    <w:link w:val="15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24">
    <w:name w:val="Heading 8"/>
    <w:basedOn w:val="1507"/>
    <w:next w:val="1507"/>
    <w:link w:val="15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25">
    <w:name w:val="Heading 8 Char"/>
    <w:basedOn w:val="1508"/>
    <w:link w:val="1524"/>
    <w:uiPriority w:val="9"/>
    <w:rPr>
      <w:rFonts w:ascii="Arial" w:hAnsi="Arial" w:eastAsia="Arial" w:cs="Arial"/>
      <w:i/>
      <w:iCs/>
      <w:sz w:val="22"/>
      <w:szCs w:val="22"/>
    </w:rPr>
  </w:style>
  <w:style w:type="paragraph" w:styleId="1526">
    <w:name w:val="Heading 9"/>
    <w:basedOn w:val="1507"/>
    <w:next w:val="1507"/>
    <w:link w:val="15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27">
    <w:name w:val="Heading 9 Char"/>
    <w:basedOn w:val="1508"/>
    <w:link w:val="1526"/>
    <w:uiPriority w:val="9"/>
    <w:rPr>
      <w:rFonts w:ascii="Arial" w:hAnsi="Arial" w:eastAsia="Arial" w:cs="Arial"/>
      <w:i/>
      <w:iCs/>
      <w:sz w:val="21"/>
      <w:szCs w:val="21"/>
    </w:rPr>
  </w:style>
  <w:style w:type="paragraph" w:styleId="1528">
    <w:name w:val="List Paragraph"/>
    <w:basedOn w:val="1507"/>
    <w:uiPriority w:val="34"/>
    <w:qFormat/>
    <w:pPr>
      <w:contextualSpacing/>
      <w:ind w:left="720"/>
    </w:pPr>
  </w:style>
  <w:style w:type="table" w:styleId="15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30">
    <w:name w:val="No Spacing"/>
    <w:uiPriority w:val="1"/>
    <w:qFormat/>
    <w:pPr>
      <w:spacing w:before="0" w:after="0" w:line="240" w:lineRule="auto"/>
    </w:pPr>
  </w:style>
  <w:style w:type="paragraph" w:styleId="1531">
    <w:name w:val="Title"/>
    <w:basedOn w:val="1507"/>
    <w:next w:val="1507"/>
    <w:link w:val="15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532">
    <w:name w:val="Title Char"/>
    <w:basedOn w:val="1508"/>
    <w:link w:val="1531"/>
    <w:uiPriority w:val="10"/>
    <w:rPr>
      <w:sz w:val="48"/>
      <w:szCs w:val="48"/>
    </w:rPr>
  </w:style>
  <w:style w:type="paragraph" w:styleId="1533">
    <w:name w:val="Subtitle"/>
    <w:basedOn w:val="1507"/>
    <w:next w:val="1507"/>
    <w:link w:val="1534"/>
    <w:uiPriority w:val="11"/>
    <w:qFormat/>
    <w:pPr>
      <w:spacing w:before="200" w:after="200"/>
    </w:pPr>
    <w:rPr>
      <w:sz w:val="24"/>
      <w:szCs w:val="24"/>
    </w:rPr>
  </w:style>
  <w:style w:type="character" w:styleId="1534">
    <w:name w:val="Subtitle Char"/>
    <w:basedOn w:val="1508"/>
    <w:link w:val="1533"/>
    <w:uiPriority w:val="11"/>
    <w:rPr>
      <w:sz w:val="24"/>
      <w:szCs w:val="24"/>
    </w:rPr>
  </w:style>
  <w:style w:type="paragraph" w:styleId="1535">
    <w:name w:val="Quote"/>
    <w:basedOn w:val="1507"/>
    <w:next w:val="1507"/>
    <w:link w:val="1536"/>
    <w:uiPriority w:val="29"/>
    <w:qFormat/>
    <w:pPr>
      <w:ind w:left="720" w:right="720"/>
    </w:pPr>
    <w:rPr>
      <w:i/>
    </w:rPr>
  </w:style>
  <w:style w:type="character" w:styleId="1536">
    <w:name w:val="Quote Char"/>
    <w:link w:val="1535"/>
    <w:uiPriority w:val="29"/>
    <w:rPr>
      <w:i/>
    </w:rPr>
  </w:style>
  <w:style w:type="paragraph" w:styleId="1537">
    <w:name w:val="Intense Quote"/>
    <w:basedOn w:val="1507"/>
    <w:next w:val="1507"/>
    <w:link w:val="15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38">
    <w:name w:val="Intense Quote Char"/>
    <w:link w:val="1537"/>
    <w:uiPriority w:val="30"/>
    <w:rPr>
      <w:i/>
    </w:rPr>
  </w:style>
  <w:style w:type="paragraph" w:styleId="1539">
    <w:name w:val="Header"/>
    <w:basedOn w:val="1507"/>
    <w:link w:val="15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40">
    <w:name w:val="Header Char"/>
    <w:basedOn w:val="1508"/>
    <w:link w:val="1539"/>
    <w:uiPriority w:val="99"/>
  </w:style>
  <w:style w:type="paragraph" w:styleId="1541">
    <w:name w:val="Footer"/>
    <w:basedOn w:val="1507"/>
    <w:link w:val="15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42">
    <w:name w:val="Footer Char"/>
    <w:basedOn w:val="1508"/>
    <w:link w:val="1541"/>
    <w:uiPriority w:val="99"/>
  </w:style>
  <w:style w:type="paragraph" w:styleId="1543">
    <w:name w:val="Caption"/>
    <w:basedOn w:val="1507"/>
    <w:next w:val="1507"/>
    <w:link w:val="15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44">
    <w:name w:val="Caption Char"/>
    <w:basedOn w:val="1508"/>
    <w:link w:val="1543"/>
    <w:uiPriority w:val="35"/>
    <w:rPr>
      <w:b/>
      <w:bCs/>
      <w:color w:val="4f81bd" w:themeColor="accent1"/>
      <w:sz w:val="18"/>
      <w:szCs w:val="18"/>
    </w:rPr>
  </w:style>
  <w:style w:type="table" w:styleId="1545">
    <w:name w:val="Table Grid"/>
    <w:basedOn w:val="15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46">
    <w:name w:val="Table Grid Light"/>
    <w:basedOn w:val="15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47">
    <w:name w:val="Plain Table 1"/>
    <w:basedOn w:val="15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8">
    <w:name w:val="Plain Table 2"/>
    <w:basedOn w:val="15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49">
    <w:name w:val="Plain Table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50">
    <w:name w:val="Plain Table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1">
    <w:name w:val="Plain Table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52">
    <w:name w:val="Grid Table 1 Light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Grid Table 1 Light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>
    <w:name w:val="Grid Table 1 Light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Grid Table 1 Light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>
    <w:name w:val="Grid Table 1 Light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>
    <w:name w:val="Grid Table 1 Light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>
    <w:name w:val="Grid Table 1 Light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>
    <w:name w:val="Grid Table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>
    <w:name w:val="Grid Table 2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>
    <w:name w:val="Grid Table 2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>
    <w:name w:val="Grid Table 2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>
    <w:name w:val="Grid Table 2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>
    <w:name w:val="Grid Table 2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Grid Table 2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>
    <w:name w:val="Grid Table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>
    <w:name w:val="Grid Table 3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>
    <w:name w:val="Grid Table 3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>
    <w:name w:val="Grid Table 3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>
    <w:name w:val="Grid Table 3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>
    <w:name w:val="Grid Table 3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>
    <w:name w:val="Grid Table 3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>
    <w:name w:val="Grid Table 4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74">
    <w:name w:val="Grid Table 4 - Accent 1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75">
    <w:name w:val="Grid Table 4 - Accent 2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76">
    <w:name w:val="Grid Table 4 - Accent 3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77">
    <w:name w:val="Grid Table 4 - Accent 4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78">
    <w:name w:val="Grid Table 4 - Accent 5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79">
    <w:name w:val="Grid Table 4 - Accent 6"/>
    <w:basedOn w:val="15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80">
    <w:name w:val="Grid Table 5 Dark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81">
    <w:name w:val="Grid Table 5 Dark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82">
    <w:name w:val="Grid Table 5 Dark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83">
    <w:name w:val="Grid Table 5 Dark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84">
    <w:name w:val="Grid Table 5 Dark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85">
    <w:name w:val="Grid Table 5 Dark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86">
    <w:name w:val="Grid Table 5 Dark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87">
    <w:name w:val="Grid Table 6 Colorful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88">
    <w:name w:val="Grid Table 6 Colorful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89">
    <w:name w:val="Grid Table 6 Colorful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90">
    <w:name w:val="Grid Table 6 Colorful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91">
    <w:name w:val="Grid Table 6 Colorful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92">
    <w:name w:val="Grid Table 6 Colorful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93">
    <w:name w:val="Grid Table 6 Colorful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94">
    <w:name w:val="Grid Table 7 Colorful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>
    <w:name w:val="Grid Table 7 Colorful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>
    <w:name w:val="Grid Table 7 Colorful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>
    <w:name w:val="Grid Table 7 Colorful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8">
    <w:name w:val="Grid Table 7 Colorful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9">
    <w:name w:val="Grid Table 7 Colorful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0">
    <w:name w:val="Grid Table 7 Colorful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1">
    <w:name w:val="List Table 1 Light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2">
    <w:name w:val="List Table 1 Light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3">
    <w:name w:val="List Table 1 Light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4">
    <w:name w:val="List Table 1 Light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5">
    <w:name w:val="List Table 1 Light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6">
    <w:name w:val="List Table 1 Light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7">
    <w:name w:val="List Table 1 Light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08">
    <w:name w:val="List Table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09">
    <w:name w:val="List Table 2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10">
    <w:name w:val="List Table 2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11">
    <w:name w:val="List Table 2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12">
    <w:name w:val="List Table 2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13">
    <w:name w:val="List Table 2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14">
    <w:name w:val="List Table 2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15">
    <w:name w:val="List Table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6">
    <w:name w:val="List Table 3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7">
    <w:name w:val="List Table 3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8">
    <w:name w:val="List Table 3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19">
    <w:name w:val="List Table 3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>
    <w:name w:val="List Table 3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1">
    <w:name w:val="List Table 3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>
    <w:name w:val="List Table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>
    <w:name w:val="List Table 4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>
    <w:name w:val="List Table 4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5">
    <w:name w:val="List Table 4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6">
    <w:name w:val="List Table 4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7">
    <w:name w:val="List Table 4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8">
    <w:name w:val="List Table 4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9">
    <w:name w:val="List Table 5 Dark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0">
    <w:name w:val="List Table 5 Dark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1">
    <w:name w:val="List Table 5 Dark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2">
    <w:name w:val="List Table 5 Dark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3">
    <w:name w:val="List Table 5 Dark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4">
    <w:name w:val="List Table 5 Dark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5">
    <w:name w:val="List Table 5 Dark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36">
    <w:name w:val="List Table 6 Colorful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37">
    <w:name w:val="List Table 6 Colorful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38">
    <w:name w:val="List Table 6 Colorful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39">
    <w:name w:val="List Table 6 Colorful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40">
    <w:name w:val="List Table 6 Colorful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41">
    <w:name w:val="List Table 6 Colorful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42">
    <w:name w:val="List Table 6 Colorful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43">
    <w:name w:val="List Table 7 Colorful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44">
    <w:name w:val="List Table 7 Colorful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45">
    <w:name w:val="List Table 7 Colorful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46">
    <w:name w:val="List Table 7 Colorful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47">
    <w:name w:val="List Table 7 Colorful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48">
    <w:name w:val="List Table 7 Colorful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49">
    <w:name w:val="List Table 7 Colorful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50">
    <w:name w:val="Lined - Accent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51">
    <w:name w:val="Lined - Accent 1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52">
    <w:name w:val="Lined - Accent 2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53">
    <w:name w:val="Lined - Accent 3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4">
    <w:name w:val="Lined - Accent 4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5">
    <w:name w:val="Lined - Accent 5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6">
    <w:name w:val="Lined - Accent 6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7">
    <w:name w:val="Bordered &amp; Lined - Accent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58">
    <w:name w:val="Bordered &amp; Lined - Accent 1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59">
    <w:name w:val="Bordered &amp; Lined - Accent 2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60">
    <w:name w:val="Bordered &amp; Lined - Accent 3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61">
    <w:name w:val="Bordered &amp; Lined - Accent 4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2">
    <w:name w:val="Bordered &amp; Lined - Accent 5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3">
    <w:name w:val="Bordered &amp; Lined - Accent 6"/>
    <w:basedOn w:val="15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4">
    <w:name w:val="Bordered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5">
    <w:name w:val="Bordered - Accent 1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66">
    <w:name w:val="Bordered - Accent 2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67">
    <w:name w:val="Bordered - Accent 3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68">
    <w:name w:val="Bordered - Accent 4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69">
    <w:name w:val="Bordered - Accent 5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70">
    <w:name w:val="Bordered - Accent 6"/>
    <w:basedOn w:val="15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71">
    <w:name w:val="Hyperlink"/>
    <w:uiPriority w:val="99"/>
    <w:unhideWhenUsed/>
    <w:rPr>
      <w:color w:val="0000ff" w:themeColor="hyperlink"/>
      <w:u w:val="single"/>
    </w:rPr>
  </w:style>
  <w:style w:type="paragraph" w:styleId="1672">
    <w:name w:val="footnote text"/>
    <w:basedOn w:val="1507"/>
    <w:link w:val="1673"/>
    <w:uiPriority w:val="99"/>
    <w:semiHidden/>
    <w:unhideWhenUsed/>
    <w:pPr>
      <w:spacing w:after="40" w:line="240" w:lineRule="auto"/>
    </w:pPr>
    <w:rPr>
      <w:sz w:val="18"/>
    </w:rPr>
  </w:style>
  <w:style w:type="character" w:styleId="1673">
    <w:name w:val="Footnote Text Char"/>
    <w:link w:val="1672"/>
    <w:uiPriority w:val="99"/>
    <w:rPr>
      <w:sz w:val="18"/>
    </w:rPr>
  </w:style>
  <w:style w:type="character" w:styleId="1674">
    <w:name w:val="footnote reference"/>
    <w:basedOn w:val="1508"/>
    <w:uiPriority w:val="99"/>
    <w:unhideWhenUsed/>
    <w:rPr>
      <w:vertAlign w:val="superscript"/>
    </w:rPr>
  </w:style>
  <w:style w:type="paragraph" w:styleId="1675">
    <w:name w:val="endnote text"/>
    <w:basedOn w:val="1507"/>
    <w:link w:val="1676"/>
    <w:uiPriority w:val="99"/>
    <w:semiHidden/>
    <w:unhideWhenUsed/>
    <w:pPr>
      <w:spacing w:after="0" w:line="240" w:lineRule="auto"/>
    </w:pPr>
    <w:rPr>
      <w:sz w:val="20"/>
    </w:rPr>
  </w:style>
  <w:style w:type="character" w:styleId="1676">
    <w:name w:val="Endnote Text Char"/>
    <w:link w:val="1675"/>
    <w:uiPriority w:val="99"/>
    <w:rPr>
      <w:sz w:val="20"/>
    </w:rPr>
  </w:style>
  <w:style w:type="character" w:styleId="1677">
    <w:name w:val="endnote reference"/>
    <w:basedOn w:val="1508"/>
    <w:uiPriority w:val="99"/>
    <w:semiHidden/>
    <w:unhideWhenUsed/>
    <w:rPr>
      <w:vertAlign w:val="superscript"/>
    </w:rPr>
  </w:style>
  <w:style w:type="paragraph" w:styleId="1678">
    <w:name w:val="toc 1"/>
    <w:basedOn w:val="1507"/>
    <w:next w:val="1507"/>
    <w:uiPriority w:val="39"/>
    <w:unhideWhenUsed/>
    <w:pPr>
      <w:ind w:left="0" w:right="0" w:firstLine="0"/>
      <w:spacing w:after="57"/>
    </w:pPr>
  </w:style>
  <w:style w:type="paragraph" w:styleId="1679">
    <w:name w:val="toc 2"/>
    <w:basedOn w:val="1507"/>
    <w:next w:val="1507"/>
    <w:uiPriority w:val="39"/>
    <w:unhideWhenUsed/>
    <w:pPr>
      <w:ind w:left="283" w:right="0" w:firstLine="0"/>
      <w:spacing w:after="57"/>
    </w:pPr>
  </w:style>
  <w:style w:type="paragraph" w:styleId="1680">
    <w:name w:val="toc 3"/>
    <w:basedOn w:val="1507"/>
    <w:next w:val="1507"/>
    <w:uiPriority w:val="39"/>
    <w:unhideWhenUsed/>
    <w:pPr>
      <w:ind w:left="567" w:right="0" w:firstLine="0"/>
      <w:spacing w:after="57"/>
    </w:pPr>
  </w:style>
  <w:style w:type="paragraph" w:styleId="1681">
    <w:name w:val="toc 4"/>
    <w:basedOn w:val="1507"/>
    <w:next w:val="1507"/>
    <w:uiPriority w:val="39"/>
    <w:unhideWhenUsed/>
    <w:pPr>
      <w:ind w:left="850" w:right="0" w:firstLine="0"/>
      <w:spacing w:after="57"/>
    </w:pPr>
  </w:style>
  <w:style w:type="paragraph" w:styleId="1682">
    <w:name w:val="toc 5"/>
    <w:basedOn w:val="1507"/>
    <w:next w:val="1507"/>
    <w:uiPriority w:val="39"/>
    <w:unhideWhenUsed/>
    <w:pPr>
      <w:ind w:left="1134" w:right="0" w:firstLine="0"/>
      <w:spacing w:after="57"/>
    </w:pPr>
  </w:style>
  <w:style w:type="paragraph" w:styleId="1683">
    <w:name w:val="toc 6"/>
    <w:basedOn w:val="1507"/>
    <w:next w:val="1507"/>
    <w:uiPriority w:val="39"/>
    <w:unhideWhenUsed/>
    <w:pPr>
      <w:ind w:left="1417" w:right="0" w:firstLine="0"/>
      <w:spacing w:after="57"/>
    </w:pPr>
  </w:style>
  <w:style w:type="paragraph" w:styleId="1684">
    <w:name w:val="toc 7"/>
    <w:basedOn w:val="1507"/>
    <w:next w:val="1507"/>
    <w:uiPriority w:val="39"/>
    <w:unhideWhenUsed/>
    <w:pPr>
      <w:ind w:left="1701" w:right="0" w:firstLine="0"/>
      <w:spacing w:after="57"/>
    </w:pPr>
  </w:style>
  <w:style w:type="paragraph" w:styleId="1685">
    <w:name w:val="toc 8"/>
    <w:basedOn w:val="1507"/>
    <w:next w:val="1507"/>
    <w:uiPriority w:val="39"/>
    <w:unhideWhenUsed/>
    <w:pPr>
      <w:ind w:left="1984" w:right="0" w:firstLine="0"/>
      <w:spacing w:after="57"/>
    </w:pPr>
  </w:style>
  <w:style w:type="paragraph" w:styleId="1686">
    <w:name w:val="toc 9"/>
    <w:basedOn w:val="1507"/>
    <w:next w:val="1507"/>
    <w:uiPriority w:val="39"/>
    <w:unhideWhenUsed/>
    <w:pPr>
      <w:ind w:left="2268" w:right="0" w:firstLine="0"/>
      <w:spacing w:after="57"/>
    </w:pPr>
  </w:style>
  <w:style w:type="paragraph" w:styleId="1687">
    <w:name w:val="TOC Heading"/>
    <w:uiPriority w:val="39"/>
    <w:unhideWhenUsed/>
  </w:style>
  <w:style w:type="paragraph" w:styleId="1688">
    <w:name w:val="table of figures"/>
    <w:basedOn w:val="1507"/>
    <w:next w:val="150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АНО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baa</dc:creator>
  <cp:lastModifiedBy>yasana@NSO.LOC</cp:lastModifiedBy>
  <cp:revision>101</cp:revision>
  <dcterms:created xsi:type="dcterms:W3CDTF">2018-10-18T09:47:00Z</dcterms:created>
  <dcterms:modified xsi:type="dcterms:W3CDTF">2026-06-03T06:52:02Z</dcterms:modified>
  <cp:version>1048576</cp:version>
</cp:coreProperties>
</file>