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6237"/>
        <w:jc w:val="center"/>
        <w:keepLines w:val="0"/>
        <w:spacing w:before="240"/>
        <w:rPr>
          <w:sz w:val="28"/>
          <w:szCs w:val="28"/>
          <w:highlight w:val="none"/>
          <w:lang w:val="en-US"/>
        </w:rPr>
        <w:suppressLineNumbers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департамента имущества и земельных отношений Новосибирской </w:t>
      </w:r>
      <w:r>
        <w:rPr>
          <w:sz w:val="28"/>
          <w:szCs w:val="28"/>
          <w:lang w:val="en-US"/>
        </w:rPr>
        <w:t xml:space="preserve">области                    о</w:t>
      </w:r>
      <w:r>
        <w:rPr>
          <w:sz w:val="28"/>
          <w:szCs w:val="28"/>
          <w:highlight w:val="none"/>
          <w:lang w:val="en-US"/>
        </w:rPr>
        <w:t xml:space="preserve">т _________ № _______ 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6237"/>
        <w:jc w:val="center"/>
        <w:spacing w:before="240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следующим категориям заявителей: </w:t>
      </w:r>
      <w:r>
        <w:rPr>
          <w:sz w:val="28"/>
          <w:szCs w:val="28"/>
        </w:rPr>
        <w:t xml:space="preserve">физическим и юридическим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имеющим право на приобретение земельного участка в собственность бесплатно без проведения торгов в случаях, установленных подпунктами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  <w:t xml:space="preserve">2-8, 10 статьи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  <w:t xml:space="preserve">39.5 Земельного кодекса Российской Федерации; </w:t>
      </w:r>
      <w:r>
        <w:rPr>
          <w:sz w:val="28"/>
          <w:szCs w:val="28"/>
        </w:rPr>
        <w:t xml:space="preserve">уполномоченному представителю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</w:t>
      </w:r>
      <w:r>
        <w:rPr>
          <w:iCs/>
          <w:color w:val="000000" w:themeColor="text1"/>
          <w:sz w:val="28"/>
          <w:szCs w:val="28"/>
        </w:rPr>
        <w:t xml:space="preserve">с кате</w:t>
      </w:r>
      <w:r>
        <w:rPr>
          <w:iCs/>
          <w:color w:val="000000" w:themeColor="text1"/>
          <w:sz w:val="28"/>
          <w:szCs w:val="28"/>
        </w:rPr>
        <w:t xml:space="preserve">гориями (признаками) заявителя, </w:t>
      </w:r>
      <w:r>
        <w:rPr>
          <w:iCs/>
          <w:color w:val="000000" w:themeColor="text1"/>
          <w:sz w:val="28"/>
          <w:szCs w:val="28"/>
        </w:rPr>
        <w:t xml:space="preserve">сведения о которых</w:t>
      </w:r>
      <w:r>
        <w:rPr>
          <w:iCs/>
          <w:color w:val="000000" w:themeColor="text1"/>
          <w:sz w:val="28"/>
          <w:szCs w:val="28"/>
        </w:rPr>
        <w:t xml:space="preserve"> размещаются в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и в федеральной государственной </w:t>
      </w:r>
      <w:r>
        <w:rPr>
          <w:iCs/>
          <w:color w:val="000000" w:themeColor="text1"/>
          <w:sz w:val="28"/>
          <w:szCs w:val="28"/>
        </w:rPr>
        <w:t xml:space="preserve">информационной системе «Единый портал государственных и муниципальных услуг (функций)</w:t>
      </w:r>
      <w:r>
        <w:rPr>
          <w:iCs/>
          <w:color w:val="000000" w:themeColor="text1"/>
          <w:sz w:val="28"/>
          <w:szCs w:val="28"/>
        </w:rPr>
        <w:t xml:space="preserve">»</w:t>
      </w:r>
      <w:r>
        <w:rPr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д</w:t>
      </w:r>
      <w:r>
        <w:rPr>
          <w:sz w:val="28"/>
          <w:szCs w:val="28"/>
          <w:lang w:val="en-US"/>
        </w:rPr>
        <w:t xml:space="preserve">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предоставлением земельных участков, находящихся в государственной собственности Новосибирской области, </w:t>
      </w:r>
      <w:r>
        <w:rPr>
          <w:sz w:val="28"/>
          <w:szCs w:val="28"/>
          <w:lang w:val="en-US"/>
        </w:rPr>
        <w:t xml:space="preserve">гражданину или юридическому лицу</w:t>
      </w:r>
      <w:r>
        <w:rPr>
          <w:sz w:val="28"/>
          <w:szCs w:val="28"/>
          <w:lang w:val="en-US"/>
        </w:rPr>
        <w:t xml:space="preserve"> в собственность бесплатно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</w:t>
      </w:r>
      <w:r>
        <w:rPr>
          <w:sz w:val="28"/>
          <w:szCs w:val="28"/>
        </w:rPr>
        <w:t xml:space="preserve">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посредством Единого портала,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почтовой связи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Услуги, независимо от категории (признаков) заявителя – при обращении заявителя в Орган власти, посредством Единого портала, 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таблице 2 приложения к настоящему Административному регламенту приведен исчерпывающий перечень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 разделением на: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</w:t>
      </w:r>
      <w:r>
        <w:rPr>
          <w:sz w:val="28"/>
          <w:szCs w:val="28"/>
        </w:rPr>
        <w:t xml:space="preserve">представлению в рамках межведомственного информационного взаимодействия.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отказывают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представлен </w:t>
      </w:r>
      <w:r>
        <w:rPr>
          <w:sz w:val="28"/>
          <w:szCs w:val="28"/>
          <w:lang w:val="en-US"/>
        </w:rPr>
        <w:t xml:space="preserve">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 представлен 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при наличии </w:t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</w:t>
      </w:r>
      <w:r>
        <w:rPr>
          <w:sz w:val="28"/>
          <w:szCs w:val="28"/>
          <w:lang w:val="en-US"/>
        </w:rPr>
        <w:t xml:space="preserve">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10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2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</w:t>
      </w:r>
      <w:r>
        <w:rPr>
          <w:sz w:val="28"/>
          <w:szCs w:val="28"/>
          <w:lang w:val="en-US"/>
        </w:rPr>
        <w:t xml:space="preserve">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39.18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(если такой земельный участок является садовым),</w:t>
      </w:r>
      <w:r>
        <w:rPr>
          <w:sz w:val="28"/>
          <w:szCs w:val="28"/>
          <w:lang w:val="en-US"/>
        </w:rPr>
        <w:t xml:space="preserve">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</w:t>
      </w:r>
      <w:r>
        <w:rPr>
          <w:sz w:val="28"/>
          <w:szCs w:val="28"/>
          <w:lang w:val="en-US"/>
        </w:rPr>
        <w:t xml:space="preserve"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, либо с заявлением о предоставл</w:t>
      </w:r>
      <w:r>
        <w:rPr>
          <w:sz w:val="28"/>
          <w:szCs w:val="28"/>
          <w:lang w:val="en-US"/>
        </w:rPr>
        <w:t xml:space="preserve">е</w:t>
      </w:r>
      <w:r>
        <w:rPr>
          <w:sz w:val="28"/>
          <w:szCs w:val="28"/>
          <w:lang w:val="en-US"/>
        </w:rPr>
        <w:t xml:space="preserve">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</w:t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</w:t>
      </w:r>
      <w:r>
        <w:rPr>
          <w:sz w:val="28"/>
          <w:szCs w:val="28"/>
          <w:lang w:val="en-US"/>
        </w:rPr>
        <w:t xml:space="preserve">занности, предусмотренные частью 11 статьи 55.32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</w:t>
      </w:r>
      <w:r>
        <w:rPr>
          <w:sz w:val="28"/>
          <w:szCs w:val="28"/>
          <w:lang w:val="en-US"/>
        </w:rPr>
        <w:t xml:space="preserve">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, либо с заявлен</w:t>
      </w:r>
      <w:r>
        <w:rPr>
          <w:sz w:val="28"/>
          <w:szCs w:val="28"/>
          <w:lang w:val="en-US"/>
        </w:rPr>
        <w:t xml:space="preserve">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</w:t>
      </w:r>
      <w:r>
        <w:rPr>
          <w:sz w:val="28"/>
          <w:szCs w:val="28"/>
          <w:lang w:val="en-US"/>
        </w:rPr>
        <w:t xml:space="preserve">лей резервирования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</w:t>
      </w:r>
      <w:r>
        <w:rPr>
          <w:sz w:val="28"/>
          <w:szCs w:val="28"/>
          <w:lang w:val="en-US"/>
        </w:rPr>
        <w:t xml:space="preserve">нного строительства, расположенных на таком земельном участке, или правообладатель такого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</w:t>
      </w:r>
      <w:r>
        <w:rPr>
          <w:sz w:val="28"/>
          <w:szCs w:val="28"/>
          <w:lang w:val="en-US"/>
        </w:rPr>
        <w:t xml:space="preserve"> строительство указанных объектов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 территории, либо расположен в границах территории, в отношении которой принято решение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</w:t>
      </w: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 территории, предусма</w:t>
      </w:r>
      <w:r>
        <w:rPr>
          <w:sz w:val="28"/>
          <w:szCs w:val="28"/>
          <w:lang w:val="en-US"/>
        </w:rPr>
        <w:t xml:space="preserve">тривающий обязательство данного лица по строительству указанных объектов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 19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отношении земельного участка, указанного в заявлении о его предоставлении, поступило предусмотренное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6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заявление о проведении аукциона по его продаже или аукциона на право заключения договора его аренды </w:t>
      </w:r>
      <w:r>
        <w:rPr>
          <w:sz w:val="28"/>
          <w:szCs w:val="28"/>
          <w:lang w:val="en-US"/>
        </w:rPr>
        <w:t xml:space="preserve">при условии, что такой земельный участок образован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и уполномоченным органом не принято решение об отказе в проведении этого аукциона по основаниям, предусмотренным 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8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отношении земельного участка, указанного в заявлении о его предоставлении, размещено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39.18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извещение о предоставлении земельного участка для индивидуального жилищного строительства, ведения </w:t>
      </w:r>
      <w:r>
        <w:rPr>
          <w:sz w:val="28"/>
          <w:szCs w:val="28"/>
          <w:lang w:val="en-US"/>
        </w:rPr>
        <w:t xml:space="preserve">личного подсобного хозяйства в границах населенных пунктов, ведения гражданами садоводства для собственных нужд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ц</w:t>
      </w:r>
      <w:r>
        <w:rPr>
          <w:sz w:val="28"/>
          <w:szCs w:val="28"/>
          <w:lang w:val="en-US"/>
        </w:rPr>
        <w:t xml:space="preserve">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</w:t>
      </w:r>
      <w:r>
        <w:rPr>
          <w:sz w:val="28"/>
          <w:szCs w:val="28"/>
          <w:lang w:val="en-US"/>
        </w:rPr>
        <w:t xml:space="preserve">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</w:t>
      </w:r>
      <w:r>
        <w:rPr>
          <w:sz w:val="28"/>
          <w:szCs w:val="28"/>
          <w:lang w:val="en-US"/>
        </w:rPr>
        <w:t xml:space="preserve">ользования такого земельного участка, указанными в заявлении о предоставлении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</w:t>
      </w:r>
      <w:r>
        <w:rPr>
          <w:sz w:val="28"/>
          <w:szCs w:val="28"/>
          <w:lang w:val="en-US"/>
        </w:rPr>
        <w:t xml:space="preserve">подано заявление о предоставлении земельного участка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10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2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6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</w:t>
      </w:r>
      <w:r>
        <w:rPr>
          <w:sz w:val="28"/>
          <w:szCs w:val="28"/>
          <w:lang w:val="en-US"/>
        </w:rPr>
        <w:t xml:space="preserve">о</w:t>
      </w:r>
      <w:r>
        <w:rPr>
          <w:sz w:val="28"/>
          <w:szCs w:val="28"/>
          <w:lang w:val="en-US"/>
        </w:rPr>
        <w:t xml:space="preserve">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</w:t>
      </w:r>
      <w:r>
        <w:rPr>
          <w:sz w:val="28"/>
          <w:szCs w:val="28"/>
          <w:lang w:val="en-US"/>
        </w:rPr>
        <w:t xml:space="preserve">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</w:t>
      </w:r>
      <w:r>
        <w:rPr>
          <w:sz w:val="28"/>
          <w:szCs w:val="28"/>
          <w:lang w:val="en-US"/>
        </w:rPr>
        <w:t xml:space="preserve">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предоставление земельного участка на заявленном виде прав не допускается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отношении земельного участка, указанного в заявлении о его предоставлении, не установлен вид разрешенного использовани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не отнесен к определенной категории земель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</w:t>
      </w:r>
      <w:r>
        <w:rPr>
          <w:sz w:val="28"/>
          <w:szCs w:val="28"/>
          <w:lang w:val="en-US"/>
        </w:rPr>
        <w:t xml:space="preserve">в этом решении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</w:t>
      </w:r>
      <w:r>
        <w:rPr>
          <w:sz w:val="28"/>
          <w:szCs w:val="28"/>
          <w:lang w:val="en-US"/>
        </w:rPr>
        <w:t xml:space="preserve">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границы земельного участка, указанного в заявлении о его предоставлении, подлежат уточнению в соответствии с Федеральным законом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О государственной регистрации недвижимости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</w:t>
      </w:r>
      <w:r>
        <w:rPr>
          <w:sz w:val="28"/>
          <w:szCs w:val="28"/>
          <w:lang w:val="en-US"/>
        </w:rPr>
        <w:t xml:space="preserve">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</w:t>
      </w:r>
      <w:r>
        <w:rPr>
          <w:sz w:val="28"/>
          <w:szCs w:val="28"/>
          <w:lang w:val="en-US"/>
        </w:rPr>
        <w:t xml:space="preserve">ельный участок образован, более чем на десять процентов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18 Федерального закона от 24 июля 2007 года № 209-ФЗ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О развитии малого и среднего пре</w:t>
      </w:r>
      <w:r>
        <w:rPr>
          <w:sz w:val="28"/>
          <w:szCs w:val="28"/>
          <w:lang w:val="en-US"/>
        </w:rPr>
        <w:t xml:space="preserve">дпринимательства в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/>
        </w:rPr>
        <w:t xml:space="preserve">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14 указанного Федерального закон</w:t>
      </w: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посредством почтовой связи –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82"/>
        <w:ind w:right="-1" w:firstLine="709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18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2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</w:t>
      </w:r>
      <w:r>
        <w:rPr>
          <w:color w:val="000000" w:themeColor="text1"/>
          <w:sz w:val="28"/>
          <w:szCs w:val="28"/>
        </w:rPr>
        <w:t xml:space="preserve">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118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18</w:t>
      </w:r>
      <w:r>
        <w:rPr>
          <w:color w:val="000000" w:themeColor="text1"/>
          <w:sz w:val="28"/>
          <w:szCs w:val="28"/>
        </w:rPr>
        <w:t xml:space="preserve">. Показатели доступности и качества Услуги размещены на официальном сайте 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 в сети «Интернет», а также на Едином портале.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81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Иные требования к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предоставлению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слуги, в том числе учитывающие особенности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многофункциональных центрах и особен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ности 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электронной форме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181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 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 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2) Единый портал;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3)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21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езультаты предоставления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 в случае, если заявитель в момент подачи заявления о предоставлении</w:t>
      </w:r>
      <w:r>
        <w:rPr>
          <w:color w:val="000000" w:themeColor="text1"/>
          <w:sz w:val="28"/>
          <w:szCs w:val="28"/>
        </w:rPr>
        <w:t xml:space="preserve"> Услуги выразил письменно желание получить запрашиваемые результаты предоставления Услуги в отношении несовершеннолетнего лично.</w:t>
      </w:r>
      <w:r/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редоставление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осуществляется в соо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ветствии с настоящим Административным регламентом.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</w:t>
      </w:r>
      <w:r>
        <w:rPr>
          <w:color w:val="000000" w:themeColor="text1"/>
          <w:sz w:val="28"/>
          <w:szCs w:val="28"/>
        </w:rPr>
        <w:t xml:space="preserve">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несовершеннолетнего, а также способы их предоставления.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22</w:t>
      </w:r>
      <w:r>
        <w:rPr>
          <w:color w:val="000000" w:themeColor="text1"/>
          <w:sz w:val="28"/>
          <w:szCs w:val="28"/>
        </w:rPr>
        <w:t xml:space="preserve">. Возможность получения Услуги в МФЦ предусмотрена при наличии соглашения о взаимодействии. 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</w:t>
      </w:r>
      <w:r>
        <w:rPr>
          <w:color w:val="000000" w:themeColor="text1"/>
          <w:sz w:val="28"/>
          <w:szCs w:val="28"/>
        </w:rPr>
        <w:t xml:space="preserve">каза в приеме документов предусмотренных административным регламентом.</w:t>
      </w:r>
      <w:r/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23. МФЦ осуществляет выдачу заявителю результата предоставления Услуги на бумажном носителе.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82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2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  <w:t xml:space="preserve">. При предоставлении Услуги осуществляются следующие административные процедуры: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рием заявления и документов и (или) информации, необходимых для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 м</w:t>
      </w:r>
      <w:r>
        <w:rPr>
          <w:color w:val="000000" w:themeColor="text1"/>
          <w:sz w:val="28"/>
          <w:szCs w:val="28"/>
        </w:rPr>
        <w:t xml:space="preserve">ежведомственное информационное взаимодействие;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8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) п</w:t>
      </w:r>
      <w:r>
        <w:rPr>
          <w:color w:val="000000" w:themeColor="text1"/>
          <w:sz w:val="28"/>
          <w:szCs w:val="28"/>
        </w:rPr>
        <w:t xml:space="preserve">ринятие решения о предоставлении (об отказе в предоставлении)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) п</w:t>
      </w:r>
      <w:r>
        <w:rPr>
          <w:color w:val="000000" w:themeColor="text1"/>
          <w:sz w:val="28"/>
          <w:szCs w:val="28"/>
        </w:rPr>
        <w:t xml:space="preserve">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82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82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. </w:t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</w:t>
      </w:r>
      <w:r>
        <w:rPr>
          <w:color w:val="000000" w:themeColor="text1"/>
          <w:sz w:val="28"/>
          <w:szCs w:val="28"/>
        </w:rPr>
        <w:t xml:space="preserve">посредством Единого портала, электронной почты, а также сообщается посредством телефонной связи, при личном обращении в Орган власти.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0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  <w:sz w:val="8"/>
              </w:rPr>
            </w:pP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</w:t>
            </w:r>
            <w:r>
              <w:rPr>
                <w:color w:val="000000" w:themeColor="text1"/>
                <w:sz w:val="28"/>
              </w:rPr>
              <w:t xml:space="preserve"> Административному регламенту, утвержденному приказом департамента имущества и земельных отношений Новосибирской области от_______№____________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>
        <w:rPr>
          <w:b/>
          <w:color w:val="000000" w:themeColor="text1"/>
          <w:sz w:val="28"/>
        </w:rPr>
        <w:t xml:space="preserve">ОТКАЗА В</w:t>
      </w:r>
      <w:r>
        <w:rPr>
          <w:b/>
          <w:color w:val="000000" w:themeColor="text1"/>
          <w:sz w:val="28"/>
        </w:rPr>
        <w:t xml:space="preserve"> ПРЕДОСТ</w:t>
      </w:r>
      <w:r>
        <w:rPr>
          <w:b/>
          <w:color w:val="000000" w:themeColor="text1"/>
          <w:sz w:val="28"/>
        </w:rPr>
        <w:t xml:space="preserve">АВЛЕНИИ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75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ЕПГУ - </w:t>
      </w:r>
      <w:r>
        <w:rPr>
          <w:color w:val="000000" w:themeColor="text1"/>
          <w:sz w:val="20"/>
        </w:rPr>
        <w:t xml:space="preserve">ф</w:t>
      </w:r>
      <w:r>
        <w:rPr>
          <w:color w:val="000000" w:themeColor="text1"/>
          <w:sz w:val="20"/>
        </w:rPr>
        <w:t xml:space="preserve">едеральная государственная информационная система «Единый портал государственных и муниципальных услуг (функций)»</w:t>
      </w:r>
      <w:r>
        <w:rPr>
          <w:color w:val="000000" w:themeColor="text1"/>
          <w:sz w:val="20"/>
        </w:rPr>
        <w:t xml:space="preserve"> (Единый портал)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ИФ (ЕПГУ) - посредством заполнения интерактивной формы на Едином портале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МФЦ - </w:t>
      </w:r>
      <w:r>
        <w:rPr>
          <w:color w:val="000000" w:themeColor="text1"/>
          <w:sz w:val="20"/>
        </w:rPr>
        <w:t xml:space="preserve">многофункциональный центр предоставления государственных и муниципальных услуг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14"/>
        </w:rPr>
      </w:pPr>
      <w:r>
        <w:rPr>
          <w:color w:val="000000" w:themeColor="text1"/>
          <w:sz w:val="20"/>
          <w:szCs w:val="28"/>
        </w:rPr>
        <w:t xml:space="preserve">ОД -предъявление оригинала документа</w:t>
      </w:r>
      <w:r>
        <w:rPr>
          <w:color w:val="000000" w:themeColor="text1"/>
          <w:sz w:val="14"/>
        </w:rPr>
      </w:r>
      <w:r>
        <w:rPr>
          <w:color w:val="000000" w:themeColor="text1"/>
          <w:sz w:val="14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(п) - копия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(з) -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СОД – скан-образ документа</w:t>
      </w: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ОГВ</w:t>
      </w:r>
      <w:r>
        <w:rPr>
          <w:color w:val="000000" w:themeColor="text1"/>
          <w:sz w:val="20"/>
        </w:rPr>
        <w:t xml:space="preserve"> – департамент имущества и земельных отношений Новосибирской области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ЕГРН – единый государственный реестр недвижимости</w:t>
      </w: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СНТ или ОНТ – садовое или огородническое некоммерческое товарищество</w:t>
      </w: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ЕГРЮЛ – единый государственный реестр юридических лиц</w:t>
      </w: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szCs w:val="20"/>
        </w:rPr>
      </w:r>
    </w:p>
    <w:p>
      <w:pPr>
        <w:pStyle w:val="975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ook w:val="04A0" w:firstRow="1" w:lastRow="0" w:firstColumn="1" w:lastColumn="0" w:noHBand="0" w:noVBand="1"/>
      </w:tblPr>
      <w:tblGrid>
        <w:gridCol w:w="744"/>
        <w:gridCol w:w="2639"/>
        <w:gridCol w:w="4724"/>
        <w:gridCol w:w="2098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физическое лицо (из числа </w:t>
            </w:r>
            <w:r>
              <w:rPr>
                <w:color w:val="000000" w:themeColor="text1"/>
                <w:sz w:val="20"/>
                <w:szCs w:val="20"/>
              </w:rPr>
              <w:t xml:space="preserve">лиц, являющихся собственниками земельных участков, </w:t>
            </w:r>
            <w:r>
              <w:rPr>
                <w:color w:val="000000" w:themeColor="text1"/>
                <w:sz w:val="20"/>
                <w:szCs w:val="20"/>
              </w:rPr>
              <w:t xml:space="preserve">расположенных в границах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территории ведения гражданами садоводства или огородничества для собственных нужд</w:t>
            </w:r>
            <w:r>
              <w:rPr>
                <w:color w:val="000000" w:themeColor="text1"/>
                <w:sz w:val="20"/>
                <w:szCs w:val="20"/>
              </w:rPr>
              <w:t xml:space="preserve">, с целью предоставления в собственность бесплатно </w:t>
            </w:r>
            <w:r>
              <w:rPr>
                <w:color w:val="000000" w:themeColor="text1"/>
                <w:sz w:val="20"/>
                <w:szCs w:val="20"/>
              </w:rPr>
              <w:t xml:space="preserve">земельного участка, образованного в соответствии с проектом межевания территории и являющегося земельным участком общего назначения, </w:t>
            </w:r>
            <w:r>
              <w:rPr>
                <w:color w:val="000000" w:themeColor="text1"/>
                <w:sz w:val="20"/>
                <w:szCs w:val="20"/>
              </w:rPr>
              <w:t xml:space="preserve">в общую долевую 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 данным лицам </w:t>
            </w:r>
            <w:r>
              <w:rPr>
                <w:color w:val="000000" w:themeColor="text1"/>
                <w:sz w:val="20"/>
                <w:szCs w:val="20"/>
              </w:rPr>
              <w:t xml:space="preserve">пропорционально площади этих участков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 (гражданин, которому предоставлен земельный участок в безвозмездное пользование не менее 5 лет, </w:t>
            </w:r>
            <w:r>
              <w:rPr>
                <w:color w:val="000000" w:themeColor="text1"/>
                <w:sz w:val="20"/>
              </w:rPr>
              <w:t xml:space="preserve">при условии, что этот гражданин использовал такой земельный участок в указанный период в соответствии с установленным разрешенным использованием)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физическое лицо (</w:t>
            </w:r>
            <w:r>
              <w:rPr>
                <w:color w:val="000000" w:themeColor="text1"/>
                <w:sz w:val="20"/>
              </w:rPr>
              <w:t xml:space="preserve">гражданин, которому предоставлен земельный участок в безвозмездное пользование не менее 5 лет, </w:t>
            </w:r>
            <w:r>
              <w:rPr>
                <w:color w:val="000000" w:themeColor="text1"/>
                <w:sz w:val="20"/>
              </w:rPr>
              <w:t xml:space="preserve">при условии, что этот гражданин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и</w:t>
            </w:r>
            <w:r>
              <w:rPr>
                <w:color w:val="000000" w:themeColor="text1"/>
                <w:sz w:val="20"/>
              </w:rPr>
              <w:t xml:space="preserve"> по профессии в соответствии со ст. 8 </w:t>
            </w:r>
            <w:r>
              <w:rPr>
                <w:color w:val="000000" w:themeColor="text1"/>
                <w:sz w:val="20"/>
              </w:rPr>
              <w:t xml:space="preserve">Закона Новосибирской области от 05.12.2016 № 112-ОЗ «Об отдельных вопросах регулирования земельных отношений на территории Новосибирской области»</w:t>
            </w:r>
            <w:r>
              <w:rPr>
                <w:color w:val="000000" w:themeColor="text1"/>
                <w:sz w:val="20"/>
              </w:rPr>
              <w:t xml:space="preserve">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физическое лицо (отдельные категории граждан из числа лиц, предусмотренных ст. 5 </w:t>
            </w:r>
            <w:r>
              <w:rPr>
                <w:color w:val="000000" w:themeColor="text1"/>
                <w:sz w:val="20"/>
              </w:rPr>
              <w:t xml:space="preserve">Закона Новосибирской области от 05.12.2016 № 112-ОЗ «Об отдельных вопросах регулирования земельных отношений на территории Новосибирской области»</w:t>
            </w:r>
            <w:r>
              <w:rPr>
                <w:color w:val="000000" w:themeColor="text1"/>
                <w:sz w:val="20"/>
              </w:rPr>
              <w:t xml:space="preserve">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физическое лицо (из числа лиц, предусмотренных </w:t>
            </w:r>
            <w:r>
              <w:rPr>
                <w:color w:val="000000" w:themeColor="text1"/>
                <w:sz w:val="20"/>
              </w:rPr>
              <w:t xml:space="preserve">Федеральным законом от 24 июля 2008 года № 161-ФЗ «О содействии развитию жилищного строительства, созданию объектов туристской инфраструктуры и иному развитию территорий», с целью предоставления земельного участка </w:t>
            </w:r>
            <w:r>
              <w:rPr>
                <w:color w:val="000000" w:themeColor="text1"/>
                <w:sz w:val="20"/>
              </w:rPr>
              <w:t xml:space="preserve">членам</w:t>
            </w:r>
            <w:r>
              <w:rPr>
                <w:color w:val="000000" w:themeColor="text1"/>
                <w:sz w:val="20"/>
              </w:rPr>
            </w:r>
            <w:r/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жилищно-строительных кооперативов)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 (</w:t>
            </w:r>
            <w:r>
              <w:rPr>
                <w:color w:val="000000" w:themeColor="text1"/>
                <w:sz w:val="20"/>
              </w:rPr>
              <w:t xml:space="preserve">религиозная организация, имеющая в собственности здания или сооружения религиозного или благотворительного назначения, расположенные на испрашиваемом земельном участке)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 (</w:t>
            </w:r>
            <w:r>
              <w:rPr>
                <w:color w:val="000000" w:themeColor="text1"/>
                <w:sz w:val="20"/>
              </w:rPr>
              <w:t xml:space="preserve">религиозная организация, которой принадлежит земельный участок на праве постоянного (бессрочного) пользования и предназначенного для сельскохозяйственного производства)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уполномоченный представитель заявителя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</w:tbl>
    <w:p>
      <w:pPr>
        <w:pStyle w:val="1183"/>
        <w:ind w:firstLine="0"/>
      </w:pPr>
      <w:r/>
      <w:r/>
    </w:p>
    <w:p>
      <w:pPr>
        <w:pStyle w:val="975"/>
        <w:numPr>
          <w:ilvl w:val="0"/>
          <w:numId w:val="74"/>
        </w:num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25"/>
        <w:gridCol w:w="3978"/>
        <w:gridCol w:w="2694"/>
      </w:tblGrid>
      <w:tr>
        <w:tblPrEx/>
        <w:trPr>
          <w:tblHeader/>
        </w:trPr>
        <w:tc>
          <w:tcPr>
            <w:shd w:val="clear" w:color="ffffff" w:fill="d9e1f2"/>
            <w:tcW w:w="6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262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39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/>
                <w:i/>
                <w:color w:val="000000" w:themeColor="text1"/>
                <w:sz w:val="20"/>
              </w:rPr>
              <w:t xml:space="preserve"> (в зависимости от конкретной жизненной ситуации)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</w:t>
            </w:r>
            <w:r>
              <w:rPr>
                <w:b/>
                <w:color w:val="000000" w:themeColor="text1"/>
                <w:sz w:val="20"/>
              </w:rPr>
              <w:t xml:space="preserve"> гражданина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ИФ (ЕПГУ)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b/>
                <w:color w:val="000000" w:themeColor="text1"/>
                <w:sz w:val="20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</w:t>
            </w:r>
            <w:r>
              <w:rPr>
                <w:b/>
                <w:color w:val="000000" w:themeColor="text1"/>
                <w:sz w:val="20"/>
              </w:rPr>
              <w:t xml:space="preserve"> документ, удостоверяющий личность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ИФ (ЕПГУ)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auto"/>
                <w:sz w:val="20"/>
              </w:rPr>
              <w:t xml:space="preserve">согласие</w:t>
            </w:r>
            <w:r>
              <w:rPr>
                <w:b/>
                <w:color w:val="auto"/>
                <w:sz w:val="20"/>
              </w:rPr>
              <w:t xml:space="preserve"> на обработку персональных данных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р</w:t>
            </w:r>
            <w:r>
              <w:rPr>
                <w:b/>
                <w:color w:val="000000" w:themeColor="text1"/>
                <w:sz w:val="20"/>
              </w:rPr>
              <w:t xml:space="preserve">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</w:t>
            </w:r>
            <w:r>
              <w:rPr>
                <w:b/>
                <w:color w:val="000000" w:themeColor="text1"/>
                <w:sz w:val="20"/>
              </w:rPr>
              <w:t xml:space="preserve">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</w:rPr>
              <w:t xml:space="preserve">К (з)=&gt;Почта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документы, подтверждающие условия предоставления земельных участков или право на приобретение земельного участка, в соответствии с законодательством субъектов Российской Федерации (</w:t>
            </w:r>
            <w:r>
              <w:rPr>
                <w:b/>
                <w:bCs/>
                <w:color w:val="000000" w:themeColor="text1"/>
                <w:sz w:val="20"/>
              </w:rPr>
              <w:t xml:space="preserve">Закон Новосибирской области от 05.12.2016 № 112-ОЗ «Об отдельных вопросах регулирования земельных отношений на территории Новосибирской области»)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</w:rPr>
              <w:t xml:space="preserve">К (з)=&gt;Почта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ЕГРН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 (з)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auto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документ, удостоверяющий (устанавливающий) права заявителя н</w:t>
            </w:r>
            <w:r>
              <w:rPr>
                <w:b/>
                <w:color w:val="000000" w:themeColor="text1"/>
                <w:sz w:val="20"/>
              </w:rPr>
              <w:t xml:space="preserve">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 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 (з)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8.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сообщение заявител</w:t>
            </w:r>
            <w:r>
              <w:rPr>
                <w:b/>
                <w:color w:val="auto"/>
                <w:sz w:val="20"/>
              </w:rPr>
              <w:t xml:space="preserve">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соответствущем праве заявителю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 (п)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9.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д</w:t>
            </w:r>
            <w:r>
              <w:rPr>
                <w:b/>
                <w:color w:val="000000" w:themeColor="text1"/>
                <w:sz w:val="20"/>
              </w:rPr>
              <w:t xml:space="preserve">окументы, подтверждающие право на приобретение земельного участка, в соответствии с законодательством субъектов Российской Федерации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</w:rPr>
              <w:t xml:space="preserve">К (з)=&gt;Почта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10.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документ, подтверждающий полномочия представителя заявителя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</w:rPr>
              <w:t xml:space="preserve">К (з)=&gt;Почта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утвержденный проект межевания территории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1А-5А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1Б-2Б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1В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</w:rPr>
              <w:t xml:space="preserve">выписка из ЕГРН об объекте недвижимости (об испрашиваемом земельном участке)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</w:rPr>
              <w:t xml:space="preserve">выписка из ЕГРЮЛ в отношении СНТ или ОНТ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15</w:t>
            </w:r>
            <w:r>
              <w:rPr>
                <w:b/>
                <w:color w:val="000000" w:themeColor="text1"/>
                <w:sz w:val="20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</w:rPr>
              <w:t xml:space="preserve">сведения о трудовой деятельности</w:t>
            </w:r>
            <w:r>
              <w:rPr>
                <w:b/>
                <w:bCs/>
              </w:rPr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75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Исчерпывающий перечень оснований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отказа в приеме заявления и документов, необходимых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предоставления Услуги или отказа в предоставлении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239"/>
        <w:gridCol w:w="2704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не представлен документ, удостоверяющий личность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1А-5А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не представлен документ, подтверждающий полномочия представителя заявителя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1В</w:t>
            </w:r>
            <w:r>
              <w:rPr>
                <w:b/>
                <w:bCs/>
                <w:color w:val="000000" w:themeColor="text1"/>
                <w:sz w:val="20"/>
              </w:rPr>
            </w:r>
            <w:r>
              <w:rPr>
                <w:b/>
                <w:bCs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</w:t>
            </w:r>
            <w:r>
              <w:rPr>
                <w:color w:val="000000" w:themeColor="text1"/>
                <w:sz w:val="20"/>
              </w:rPr>
              <w:t xml:space="preserve">снования</w:t>
            </w:r>
            <w:r>
              <w:rPr>
                <w:color w:val="000000" w:themeColor="text1"/>
                <w:sz w:val="20"/>
              </w:rPr>
              <w:t xml:space="preserve">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</w:t>
            </w:r>
            <w:r>
              <w:rPr>
                <w:b/>
                <w:bCs/>
                <w:color w:val="000000" w:themeColor="text1"/>
                <w:sz w:val="20"/>
              </w:rPr>
              <w:t xml:space="preserve">А-5А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  <w:highlight w:val="none"/>
              </w:rPr>
              <w:t xml:space="preserve">1Б-2Б</w:t>
            </w:r>
            <w:r>
              <w:rPr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highlight w:val="none"/>
              </w:rPr>
              <w:t xml:space="preserve">1В</w:t>
            </w:r>
            <w:r>
              <w:rPr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      </w:r>
            <w:r>
              <w:rPr>
                <w:color w:val="000000" w:themeColor="text1"/>
                <w:sz w:val="20"/>
              </w:rPr>
              <w:t xml:space="preserve">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Земельного Кодекса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</w:t>
            </w:r>
            <w:r>
              <w:rPr>
                <w:color w:val="000000" w:themeColor="text1"/>
                <w:sz w:val="20"/>
              </w:rPr>
              <w:t xml:space="preserve">л</w:t>
            </w:r>
            <w:r>
              <w:rPr>
                <w:color w:val="000000" w:themeColor="text1"/>
                <w:sz w:val="20"/>
              </w:rPr>
              <w:t xml:space="preserve">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</w:t>
            </w:r>
            <w:r>
              <w:rPr>
                <w:color w:val="000000" w:themeColor="text1"/>
                <w:sz w:val="20"/>
              </w:rPr>
              <w:t xml:space="preserve">а</w:t>
            </w:r>
            <w:r>
              <w:rPr>
                <w:color w:val="000000" w:themeColor="text1"/>
                <w:sz w:val="20"/>
              </w:rPr>
              <w:t xml:space="preserve">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</w:t>
            </w:r>
            <w:r>
              <w:rPr>
                <w:color w:val="000000" w:themeColor="text1"/>
                <w:sz w:val="20"/>
              </w:rPr>
              <w:t xml:space="preserve">я)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либо с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</w:t>
            </w:r>
            <w:r>
              <w:rPr>
                <w:color w:val="000000" w:themeColor="text1"/>
                <w:sz w:val="20"/>
              </w:rPr>
              <w:t xml:space="preserve">х</w:t>
            </w:r>
            <w:r>
              <w:rPr>
                <w:color w:val="000000" w:themeColor="text1"/>
                <w:sz w:val="20"/>
              </w:rPr>
              <w:t xml:space="preserve">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</w:t>
            </w:r>
            <w:r>
              <w:rPr>
                <w:color w:val="000000" w:themeColor="text1"/>
                <w:sz w:val="20"/>
              </w:rPr>
              <w:t xml:space="preserve">ениями, не выполнены обязанности, предусмотренные частью 11 статьи 55.32 Градостроительного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</w:t>
            </w:r>
            <w:r>
              <w:rPr>
                <w:color w:val="000000" w:themeColor="text1"/>
                <w:sz w:val="20"/>
              </w:rPr>
              <w:t xml:space="preserve">едерации,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</w:t>
            </w:r>
            <w:r>
              <w:rPr>
                <w:color w:val="000000" w:themeColor="text1"/>
                <w:sz w:val="20"/>
              </w:rPr>
              <w:t xml:space="preserve"> целей резервирования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</w:t>
            </w:r>
            <w:r>
              <w:rPr>
                <w:color w:val="000000" w:themeColor="text1"/>
                <w:sz w:val="20"/>
              </w:rPr>
              <w:t xml:space="preserve">с</w:t>
            </w:r>
            <w:r>
              <w:rPr>
                <w:color w:val="000000" w:themeColor="text1"/>
                <w:sz w:val="20"/>
              </w:rPr>
              <w:t xml:space="preserve">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</w:t>
            </w:r>
            <w:r>
              <w:rPr>
                <w:color w:val="000000" w:themeColor="text1"/>
                <w:sz w:val="20"/>
              </w:rPr>
              <w:t xml:space="preserve">ршенного строительства, расположенных на таком земельном участке, или правообладатель такого земельного участка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</w:t>
            </w:r>
            <w:r>
              <w:rPr>
                <w:color w:val="000000" w:themeColor="text1"/>
                <w:sz w:val="20"/>
              </w:rPr>
              <w:t xml:space="preserve">с</w:t>
            </w:r>
            <w:r>
              <w:rPr>
                <w:color w:val="000000" w:themeColor="text1"/>
                <w:sz w:val="20"/>
              </w:rPr>
              <w:t xml:space="preserve">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</w:t>
            </w:r>
            <w:r>
              <w:rPr>
                <w:color w:val="000000" w:themeColor="text1"/>
                <w:sz w:val="20"/>
              </w:rPr>
              <w:t xml:space="preserve"> на строительство указанных объектов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 территории, либо расположен в границах территории, в отношении которой принято реше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</w:t>
            </w:r>
            <w:r>
              <w:rPr>
                <w:color w:val="000000" w:themeColor="text1"/>
                <w:sz w:val="20"/>
              </w:rPr>
              <w:t xml:space="preserve">д</w:t>
            </w:r>
            <w:r>
              <w:rPr>
                <w:color w:val="000000" w:themeColor="text1"/>
                <w:sz w:val="20"/>
              </w:rPr>
              <w:t xml:space="preserve">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 территории, преду</w:t>
            </w:r>
            <w:r>
              <w:rPr>
                <w:color w:val="000000" w:themeColor="text1"/>
                <w:sz w:val="20"/>
              </w:rPr>
              <w:t xml:space="preserve">сматривающий обязательство данного лица по строительству указанных объектов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</w:t>
            </w:r>
            <w:r>
              <w:rPr>
                <w:color w:val="000000" w:themeColor="text1"/>
                <w:sz w:val="20"/>
              </w:rPr>
              <w:t xml:space="preserve">аниям, предусмотренным пунктом 8 статьи 39.11 Земельного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</w:t>
            </w:r>
            <w:r>
              <w:rPr>
                <w:color w:val="000000" w:themeColor="text1"/>
                <w:sz w:val="20"/>
              </w:rPr>
              <w:t xml:space="preserve"> строительства, ведения личного подсобного хозяйства в границах населенных пунктов, ведения гражданами садоводства для собственных нужд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</w:t>
            </w:r>
            <w:r>
              <w:rPr>
                <w:color w:val="000000" w:themeColor="text1"/>
                <w:sz w:val="20"/>
              </w:rPr>
              <w:t xml:space="preserve">и</w:t>
            </w:r>
            <w:r>
              <w:rPr>
                <w:color w:val="000000" w:themeColor="text1"/>
                <w:sz w:val="20"/>
              </w:rPr>
              <w:t xml:space="preserve">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</w:t>
            </w:r>
            <w:r>
              <w:rPr>
                <w:color w:val="000000" w:themeColor="text1"/>
                <w:sz w:val="20"/>
              </w:rPr>
              <w:t xml:space="preserve">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</w:t>
            </w:r>
            <w:r>
              <w:rPr>
                <w:color w:val="000000" w:themeColor="text1"/>
                <w:sz w:val="20"/>
              </w:rPr>
              <w:t xml:space="preserve">использования такого земельного участка, указанными в заявлении о предоставлении земельного участк</w:t>
            </w:r>
            <w:r>
              <w:rPr>
                <w:color w:val="000000" w:themeColor="text1"/>
                <w:sz w:val="20"/>
              </w:rPr>
              <w:t xml:space="preserve">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</w:t>
            </w:r>
            <w:r>
              <w:rPr>
                <w:color w:val="000000" w:themeColor="text1"/>
                <w:sz w:val="20"/>
              </w:rPr>
              <w:t xml:space="preserve">ли подано заявление о предоставлении земельного участка в соответствии с подпунктом 10 пункта 2 статьи 39.10 Земельного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</w:t>
            </w:r>
            <w:r>
              <w:rPr>
                <w:color w:val="000000" w:themeColor="text1"/>
                <w:sz w:val="20"/>
              </w:rPr>
              <w:t xml:space="preserve">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</w:t>
            </w:r>
            <w:r>
              <w:rPr>
                <w:color w:val="000000" w:themeColor="text1"/>
                <w:sz w:val="20"/>
              </w:rPr>
              <w:t xml:space="preserve">л</w:t>
            </w:r>
            <w:r>
              <w:rPr>
                <w:color w:val="000000" w:themeColor="text1"/>
                <w:sz w:val="20"/>
              </w:rPr>
              <w:t xml:space="preserve">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</w:t>
            </w:r>
            <w:r>
              <w:rPr>
                <w:color w:val="000000" w:themeColor="text1"/>
                <w:sz w:val="20"/>
              </w:rPr>
              <w:t xml:space="preserve">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предоставление земельного участка на заявленном виде прав не допускается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не установлен вид разрешенного использования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не отнесен к определенной категории земель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</w:t>
            </w:r>
            <w:r>
              <w:rPr>
                <w:color w:val="000000" w:themeColor="text1"/>
                <w:sz w:val="20"/>
              </w:rPr>
              <w:t xml:space="preserve">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</w:t>
            </w:r>
            <w:r>
              <w:rPr>
                <w:color w:val="000000" w:themeColor="text1"/>
                <w:sz w:val="20"/>
              </w:rPr>
              <w:t xml:space="preserve"> этом решении лицо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</w:t>
            </w:r>
            <w:r>
              <w:rPr>
                <w:color w:val="000000" w:themeColor="text1"/>
                <w:sz w:val="20"/>
              </w:rPr>
              <w:t xml:space="preserve">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</w:t>
            </w:r>
            <w:r>
              <w:rPr>
                <w:color w:val="000000" w:themeColor="text1"/>
                <w:sz w:val="20"/>
              </w:rPr>
              <w:t xml:space="preserve">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границы земельного участка, указанного в заявлении о его предоставлении, подлежат уточнению в соответствии с Федеральным законом «О государственной регистрации недвижимости»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</w:t>
            </w:r>
            <w:r>
              <w:rPr>
                <w:color w:val="000000" w:themeColor="text1"/>
                <w:sz w:val="20"/>
              </w:rPr>
              <w:t xml:space="preserve">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</w:t>
            </w:r>
            <w:r>
              <w:rPr>
                <w:color w:val="000000" w:themeColor="text1"/>
                <w:sz w:val="20"/>
              </w:rPr>
              <w:t xml:space="preserve">ельный участок образован, более чем на десять процентов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</w:t>
            </w:r>
            <w:r>
              <w:rPr>
                <w:color w:val="000000" w:themeColor="text1"/>
                <w:sz w:val="20"/>
              </w:rPr>
              <w:t xml:space="preserve">п</w:t>
            </w:r>
            <w:r>
              <w:rPr>
                <w:color w:val="000000" w:themeColor="text1"/>
                <w:sz w:val="20"/>
              </w:rPr>
              <w:t xml:space="preserve">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 3 статьи 14 указанного Федерального за</w:t>
            </w:r>
            <w:r>
              <w:rPr>
                <w:color w:val="000000" w:themeColor="text1"/>
                <w:sz w:val="20"/>
              </w:rPr>
              <w:t xml:space="preserve">кона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  <w:t xml:space="preserve">V.</w:t>
        <w:tab/>
        <w:t xml:space="preserve">Примерная форма заявления о предоставлении Услуги и согласия на обработку персональных данных</w:t>
      </w:r>
      <w:r>
        <w:rPr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Форма заявления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департамент имущества и земельных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отношений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(ФИО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реквизиты паспорта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для физических лиц; наименование ЮЛ для юридических лиц)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ИНН или ОГРН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юридических лиц)</w: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 xml:space="preserve">____________________________________________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 жительства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физических лиц)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эл.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почты:_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Заявление о предоставлении земельного участка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ст. 39.17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просим предоставить земельный участок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 кадастровым номером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расположенный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площадью ______________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использования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основание предоставления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_____________ст. 39.5 Земельного кодекса РФ.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Реквизиты решения об утверждении проекта межевания территории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(при наличии)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Способ получения результата предоставления государственной услуги: 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копии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подтв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ерждающих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право заявителей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на приобретение земельного участка без проведения торгов в собственность бесплатно);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(копии документов, уд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остоверяющих личность заявителей или полномочия представителя)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;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(копии иных документов (при необходимости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 ____________ 20___ г.____________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 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(инициалы, фамилия)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Форма согласия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СОГЛАСИЕ</w:t>
      </w:r>
      <w:r>
        <w:rPr>
          <w:b w:val="0"/>
          <w:bCs w:val="0"/>
          <w:sz w:val="24"/>
          <w:szCs w:val="24"/>
        </w:rPr>
        <w:br/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субъекта персональных данных</w:t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 на обработку его персональных данных</w:t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 серия _______ номер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 </w:t>
      </w:r>
      <w:r>
        <w:rPr>
          <w:rFonts w:hAnsi="Times New Roman" w:cs="Times New Roman"/>
          <w:color w:val="000000"/>
          <w:sz w:val="24"/>
          <w:szCs w:val="24"/>
        </w:rPr>
        <w:t xml:space="preserve">выдан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департаменту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Закон РФ)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данных, а именно на совершение действий, предусмотренных </w:t>
      </w:r>
      <w:r>
        <w:rPr>
          <w:rFonts w:hAnsi="Times New Roman" w:cs="Times New Roman"/>
          <w:color w:val="000000"/>
          <w:sz w:val="24"/>
          <w:szCs w:val="24"/>
        </w:rPr>
        <w:t xml:space="preserve"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 Закона РФ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Цель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департаментом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 xml:space="preserve">оказание  государственной услуги / рассмотрение </w:t>
      </w:r>
      <w:r>
        <w:rPr>
          <w:rFonts w:hAnsi="Times New Roman" w:cs="Times New Roman"/>
          <w:color w:val="000000"/>
          <w:sz w:val="24"/>
          <w:szCs w:val="24"/>
        </w:rPr>
        <w:t xml:space="preserve">обращения (нужное подчеркнуть)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РФ.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Субъект персональных данных: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(подпись)                                      (Ф. И. О.)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</w:t>
      </w:r>
      <w:r>
        <w:rPr>
          <w:rFonts w:hAnsi="Times New Roman" w:cs="Times New Roman"/>
          <w:color w:val="000000"/>
          <w:sz w:val="24"/>
          <w:szCs w:val="24"/>
        </w:rPr>
        <w:t xml:space="preserve">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20____  г.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</w:r>
      <w:r>
        <w:rPr>
          <w:color w:val="000000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-850" w:right="567" w:bottom="1106" w:left="1417" w:header="709" w:footer="212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3"/>
    </w:pPr>
    <w:r>
      <w:rPr>
        <w:sz w:val="16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3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80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</w:pPr>
    <w:fldSimple w:instr="PAGE \* MERGEFORMAT">
      <w:r>
        <w:t xml:space="preserve">1</w:t>
      </w:r>
    </w:fldSimple>
    <w:r/>
    <w:r/>
  </w:p>
  <w:p>
    <w:pPr>
      <w:pStyle w:val="10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75">
    <w:name w:val="Heading 1"/>
    <w:basedOn w:val="1153"/>
    <w:next w:val="1153"/>
    <w:link w:val="9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76">
    <w:name w:val="Heading 1 Char"/>
    <w:link w:val="975"/>
    <w:uiPriority w:val="9"/>
    <w:rPr>
      <w:rFonts w:ascii="Arial" w:hAnsi="Arial" w:eastAsia="Arial" w:cs="Arial"/>
      <w:sz w:val="40"/>
      <w:szCs w:val="40"/>
    </w:rPr>
  </w:style>
  <w:style w:type="paragraph" w:styleId="977">
    <w:name w:val="Heading 2"/>
    <w:basedOn w:val="1153"/>
    <w:next w:val="1153"/>
    <w:link w:val="9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78">
    <w:name w:val="Heading 2 Char"/>
    <w:link w:val="977"/>
    <w:uiPriority w:val="9"/>
    <w:rPr>
      <w:rFonts w:ascii="Arial" w:hAnsi="Arial" w:eastAsia="Arial" w:cs="Arial"/>
      <w:sz w:val="34"/>
    </w:rPr>
  </w:style>
  <w:style w:type="paragraph" w:styleId="979">
    <w:name w:val="Heading 3"/>
    <w:basedOn w:val="1153"/>
    <w:next w:val="1153"/>
    <w:link w:val="9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80">
    <w:name w:val="Heading 3 Char"/>
    <w:link w:val="979"/>
    <w:uiPriority w:val="9"/>
    <w:rPr>
      <w:rFonts w:ascii="Arial" w:hAnsi="Arial" w:eastAsia="Arial" w:cs="Arial"/>
      <w:sz w:val="30"/>
      <w:szCs w:val="30"/>
    </w:rPr>
  </w:style>
  <w:style w:type="paragraph" w:styleId="981">
    <w:name w:val="Heading 4"/>
    <w:basedOn w:val="1153"/>
    <w:next w:val="1153"/>
    <w:link w:val="9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2">
    <w:name w:val="Heading 4 Char"/>
    <w:link w:val="981"/>
    <w:uiPriority w:val="9"/>
    <w:rPr>
      <w:rFonts w:ascii="Arial" w:hAnsi="Arial" w:eastAsia="Arial" w:cs="Arial"/>
      <w:b/>
      <w:bCs/>
      <w:sz w:val="26"/>
      <w:szCs w:val="26"/>
    </w:rPr>
  </w:style>
  <w:style w:type="paragraph" w:styleId="983">
    <w:name w:val="Heading 5"/>
    <w:basedOn w:val="1153"/>
    <w:next w:val="1153"/>
    <w:link w:val="9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4">
    <w:name w:val="Heading 5 Char"/>
    <w:link w:val="983"/>
    <w:uiPriority w:val="9"/>
    <w:rPr>
      <w:rFonts w:ascii="Arial" w:hAnsi="Arial" w:eastAsia="Arial" w:cs="Arial"/>
      <w:b/>
      <w:bCs/>
      <w:sz w:val="24"/>
      <w:szCs w:val="24"/>
    </w:rPr>
  </w:style>
  <w:style w:type="paragraph" w:styleId="985">
    <w:name w:val="Heading 6"/>
    <w:basedOn w:val="1153"/>
    <w:next w:val="1153"/>
    <w:link w:val="9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6">
    <w:name w:val="Heading 6 Char"/>
    <w:link w:val="985"/>
    <w:uiPriority w:val="9"/>
    <w:rPr>
      <w:rFonts w:ascii="Arial" w:hAnsi="Arial" w:eastAsia="Arial" w:cs="Arial"/>
      <w:b/>
      <w:bCs/>
      <w:sz w:val="22"/>
      <w:szCs w:val="22"/>
    </w:rPr>
  </w:style>
  <w:style w:type="paragraph" w:styleId="987">
    <w:name w:val="Heading 7"/>
    <w:basedOn w:val="1153"/>
    <w:next w:val="1153"/>
    <w:link w:val="9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8">
    <w:name w:val="Heading 7 Char"/>
    <w:link w:val="9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9">
    <w:name w:val="Heading 8"/>
    <w:basedOn w:val="1153"/>
    <w:next w:val="1153"/>
    <w:link w:val="9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0">
    <w:name w:val="Heading 8 Char"/>
    <w:link w:val="989"/>
    <w:uiPriority w:val="9"/>
    <w:rPr>
      <w:rFonts w:ascii="Arial" w:hAnsi="Arial" w:eastAsia="Arial" w:cs="Arial"/>
      <w:i/>
      <w:iCs/>
      <w:sz w:val="22"/>
      <w:szCs w:val="22"/>
    </w:rPr>
  </w:style>
  <w:style w:type="paragraph" w:styleId="991">
    <w:name w:val="Heading 9"/>
    <w:basedOn w:val="1153"/>
    <w:next w:val="1153"/>
    <w:link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2">
    <w:name w:val="Heading 9 Char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993">
    <w:name w:val="List Paragraph"/>
    <w:basedOn w:val="1153"/>
    <w:uiPriority w:val="34"/>
    <w:qFormat/>
    <w:pPr>
      <w:contextualSpacing/>
      <w:ind w:left="720"/>
    </w:pPr>
  </w:style>
  <w:style w:type="paragraph" w:styleId="994">
    <w:name w:val="No Spacing"/>
    <w:uiPriority w:val="1"/>
    <w:qFormat/>
    <w:pPr>
      <w:spacing w:before="0" w:after="0" w:line="240" w:lineRule="auto"/>
    </w:pPr>
  </w:style>
  <w:style w:type="paragraph" w:styleId="995">
    <w:name w:val="Title"/>
    <w:basedOn w:val="1153"/>
    <w:next w:val="1153"/>
    <w:link w:val="9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6">
    <w:name w:val="Title Char"/>
    <w:link w:val="995"/>
    <w:uiPriority w:val="10"/>
    <w:rPr>
      <w:sz w:val="48"/>
      <w:szCs w:val="48"/>
    </w:rPr>
  </w:style>
  <w:style w:type="paragraph" w:styleId="997">
    <w:name w:val="Subtitle"/>
    <w:basedOn w:val="1153"/>
    <w:next w:val="1153"/>
    <w:link w:val="998"/>
    <w:uiPriority w:val="11"/>
    <w:qFormat/>
    <w:pPr>
      <w:spacing w:before="200" w:after="200"/>
    </w:pPr>
    <w:rPr>
      <w:sz w:val="24"/>
      <w:szCs w:val="24"/>
    </w:rPr>
  </w:style>
  <w:style w:type="character" w:styleId="998">
    <w:name w:val="Subtitle Char"/>
    <w:link w:val="997"/>
    <w:uiPriority w:val="11"/>
    <w:rPr>
      <w:sz w:val="24"/>
      <w:szCs w:val="24"/>
    </w:rPr>
  </w:style>
  <w:style w:type="paragraph" w:styleId="999">
    <w:name w:val="Quote"/>
    <w:basedOn w:val="1153"/>
    <w:next w:val="1153"/>
    <w:link w:val="1000"/>
    <w:uiPriority w:val="29"/>
    <w:qFormat/>
    <w:pPr>
      <w:ind w:left="720" w:right="720"/>
    </w:pPr>
    <w:rPr>
      <w:i/>
    </w:rPr>
  </w:style>
  <w:style w:type="character" w:styleId="1000">
    <w:name w:val="Quote Char"/>
    <w:link w:val="999"/>
    <w:uiPriority w:val="29"/>
    <w:rPr>
      <w:i/>
    </w:rPr>
  </w:style>
  <w:style w:type="paragraph" w:styleId="1001">
    <w:name w:val="Intense Quote"/>
    <w:basedOn w:val="1153"/>
    <w:next w:val="1153"/>
    <w:link w:val="10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2">
    <w:name w:val="Intense Quote Char"/>
    <w:link w:val="1001"/>
    <w:uiPriority w:val="30"/>
    <w:rPr>
      <w:i/>
    </w:rPr>
  </w:style>
  <w:style w:type="paragraph" w:styleId="1003">
    <w:name w:val="Header"/>
    <w:basedOn w:val="1153"/>
    <w:link w:val="10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04">
    <w:name w:val="Header Char"/>
    <w:link w:val="1003"/>
    <w:uiPriority w:val="99"/>
  </w:style>
  <w:style w:type="paragraph" w:styleId="1005">
    <w:name w:val="Footer"/>
    <w:basedOn w:val="1153"/>
    <w:link w:val="10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06">
    <w:name w:val="Footer Char"/>
    <w:link w:val="1005"/>
    <w:uiPriority w:val="99"/>
  </w:style>
  <w:style w:type="paragraph" w:styleId="1007">
    <w:name w:val="Caption"/>
    <w:basedOn w:val="1153"/>
    <w:next w:val="1153"/>
    <w:link w:val="10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8">
    <w:name w:val="Caption Char"/>
    <w:basedOn w:val="1007"/>
    <w:link w:val="1005"/>
    <w:uiPriority w:val="99"/>
  </w:style>
  <w:style w:type="table" w:styleId="10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5">
    <w:name w:val="Hyperlink"/>
    <w:uiPriority w:val="99"/>
    <w:unhideWhenUsed/>
    <w:rPr>
      <w:color w:val="0000ff" w:themeColor="hyperlink"/>
      <w:u w:val="single"/>
    </w:rPr>
  </w:style>
  <w:style w:type="paragraph" w:styleId="1136">
    <w:name w:val="footnote text"/>
    <w:basedOn w:val="1153"/>
    <w:link w:val="1137"/>
    <w:uiPriority w:val="99"/>
    <w:semiHidden/>
    <w:unhideWhenUsed/>
    <w:pPr>
      <w:spacing w:after="40" w:line="240" w:lineRule="auto"/>
    </w:pPr>
    <w:rPr>
      <w:sz w:val="18"/>
    </w:rPr>
  </w:style>
  <w:style w:type="character" w:styleId="1137">
    <w:name w:val="Footnote Text Char"/>
    <w:link w:val="1136"/>
    <w:uiPriority w:val="99"/>
    <w:rPr>
      <w:sz w:val="18"/>
    </w:rPr>
  </w:style>
  <w:style w:type="character" w:styleId="1138">
    <w:name w:val="footnote reference"/>
    <w:uiPriority w:val="99"/>
    <w:unhideWhenUsed/>
    <w:rPr>
      <w:vertAlign w:val="superscript"/>
    </w:rPr>
  </w:style>
  <w:style w:type="paragraph" w:styleId="1139">
    <w:name w:val="endnote text"/>
    <w:basedOn w:val="1153"/>
    <w:link w:val="1140"/>
    <w:uiPriority w:val="99"/>
    <w:semiHidden/>
    <w:unhideWhenUsed/>
    <w:pPr>
      <w:spacing w:after="0" w:line="240" w:lineRule="auto"/>
    </w:pPr>
    <w:rPr>
      <w:sz w:val="20"/>
    </w:rPr>
  </w:style>
  <w:style w:type="character" w:styleId="1140">
    <w:name w:val="Endnote Text Char"/>
    <w:link w:val="1139"/>
    <w:uiPriority w:val="99"/>
    <w:rPr>
      <w:sz w:val="20"/>
    </w:rPr>
  </w:style>
  <w:style w:type="character" w:styleId="1141">
    <w:name w:val="endnote reference"/>
    <w:uiPriority w:val="99"/>
    <w:semiHidden/>
    <w:unhideWhenUsed/>
    <w:rPr>
      <w:vertAlign w:val="superscript"/>
    </w:rPr>
  </w:style>
  <w:style w:type="paragraph" w:styleId="1142">
    <w:name w:val="toc 1"/>
    <w:basedOn w:val="1153"/>
    <w:next w:val="1153"/>
    <w:uiPriority w:val="39"/>
    <w:unhideWhenUsed/>
    <w:pPr>
      <w:ind w:left="0" w:right="0" w:firstLine="0"/>
      <w:spacing w:after="57"/>
    </w:pPr>
  </w:style>
  <w:style w:type="paragraph" w:styleId="1143">
    <w:name w:val="toc 2"/>
    <w:basedOn w:val="1153"/>
    <w:next w:val="1153"/>
    <w:uiPriority w:val="39"/>
    <w:unhideWhenUsed/>
    <w:pPr>
      <w:ind w:left="283" w:right="0" w:firstLine="0"/>
      <w:spacing w:after="57"/>
    </w:pPr>
  </w:style>
  <w:style w:type="paragraph" w:styleId="1144">
    <w:name w:val="toc 3"/>
    <w:basedOn w:val="1153"/>
    <w:next w:val="1153"/>
    <w:uiPriority w:val="39"/>
    <w:unhideWhenUsed/>
    <w:pPr>
      <w:ind w:left="567" w:right="0" w:firstLine="0"/>
      <w:spacing w:after="57"/>
    </w:pPr>
  </w:style>
  <w:style w:type="paragraph" w:styleId="1145">
    <w:name w:val="toc 4"/>
    <w:basedOn w:val="1153"/>
    <w:next w:val="1153"/>
    <w:uiPriority w:val="39"/>
    <w:unhideWhenUsed/>
    <w:pPr>
      <w:ind w:left="850" w:right="0" w:firstLine="0"/>
      <w:spacing w:after="57"/>
    </w:pPr>
  </w:style>
  <w:style w:type="paragraph" w:styleId="1146">
    <w:name w:val="toc 5"/>
    <w:basedOn w:val="1153"/>
    <w:next w:val="1153"/>
    <w:uiPriority w:val="39"/>
    <w:unhideWhenUsed/>
    <w:pPr>
      <w:ind w:left="1134" w:right="0" w:firstLine="0"/>
      <w:spacing w:after="57"/>
    </w:pPr>
  </w:style>
  <w:style w:type="paragraph" w:styleId="1147">
    <w:name w:val="toc 6"/>
    <w:basedOn w:val="1153"/>
    <w:next w:val="1153"/>
    <w:uiPriority w:val="39"/>
    <w:unhideWhenUsed/>
    <w:pPr>
      <w:ind w:left="1417" w:right="0" w:firstLine="0"/>
      <w:spacing w:after="57"/>
    </w:pPr>
  </w:style>
  <w:style w:type="paragraph" w:styleId="1148">
    <w:name w:val="toc 7"/>
    <w:basedOn w:val="1153"/>
    <w:next w:val="1153"/>
    <w:uiPriority w:val="39"/>
    <w:unhideWhenUsed/>
    <w:pPr>
      <w:ind w:left="1701" w:right="0" w:firstLine="0"/>
      <w:spacing w:after="57"/>
    </w:pPr>
  </w:style>
  <w:style w:type="paragraph" w:styleId="1149">
    <w:name w:val="toc 8"/>
    <w:basedOn w:val="1153"/>
    <w:next w:val="1153"/>
    <w:uiPriority w:val="39"/>
    <w:unhideWhenUsed/>
    <w:pPr>
      <w:ind w:left="1984" w:right="0" w:firstLine="0"/>
      <w:spacing w:after="57"/>
    </w:pPr>
  </w:style>
  <w:style w:type="paragraph" w:styleId="1150">
    <w:name w:val="toc 9"/>
    <w:basedOn w:val="1153"/>
    <w:next w:val="1153"/>
    <w:uiPriority w:val="39"/>
    <w:unhideWhenUsed/>
    <w:pPr>
      <w:ind w:left="2268" w:right="0" w:firstLine="0"/>
      <w:spacing w:after="57"/>
    </w:pPr>
  </w:style>
  <w:style w:type="paragraph" w:styleId="1151">
    <w:name w:val="TOC Heading"/>
    <w:uiPriority w:val="39"/>
    <w:unhideWhenUsed/>
  </w:style>
  <w:style w:type="paragraph" w:styleId="1152">
    <w:name w:val="table of figures"/>
    <w:basedOn w:val="1153"/>
    <w:next w:val="1153"/>
    <w:uiPriority w:val="99"/>
    <w:unhideWhenUsed/>
    <w:pPr>
      <w:spacing w:after="0" w:afterAutospacing="0"/>
    </w:pPr>
  </w:style>
  <w:style w:type="paragraph" w:styleId="1153" w:default="1">
    <w:name w:val="Normal"/>
    <w:next w:val="1153"/>
    <w:link w:val="1153"/>
    <w:qFormat/>
    <w:rPr>
      <w:sz w:val="24"/>
      <w:szCs w:val="24"/>
      <w:lang w:val="ru-RU" w:eastAsia="ru-RU" w:bidi="ar-SA"/>
    </w:rPr>
  </w:style>
  <w:style w:type="character" w:styleId="1154">
    <w:name w:val="Основной шрифт абзаца"/>
    <w:next w:val="1154"/>
    <w:link w:val="1153"/>
    <w:semiHidden/>
  </w:style>
  <w:style w:type="table" w:styleId="1155">
    <w:name w:val="Обычная таблица"/>
    <w:next w:val="1155"/>
    <w:link w:val="1153"/>
    <w:semiHidden/>
    <w:tblPr/>
  </w:style>
  <w:style w:type="numbering" w:styleId="1156">
    <w:name w:val="Нет списка"/>
    <w:next w:val="1156"/>
    <w:link w:val="1153"/>
    <w:semiHidden/>
  </w:style>
  <w:style w:type="paragraph" w:styleId="1157">
    <w:name w:val="заголовок 4"/>
    <w:basedOn w:val="1153"/>
    <w:next w:val="1153"/>
    <w:link w:val="1153"/>
    <w:pPr>
      <w:jc w:val="center"/>
      <w:keepNext/>
    </w:pPr>
    <w:rPr>
      <w:b/>
      <w:bCs/>
    </w:rPr>
  </w:style>
  <w:style w:type="paragraph" w:styleId="1158">
    <w:name w:val="заголовок 5"/>
    <w:basedOn w:val="1153"/>
    <w:next w:val="1153"/>
    <w:link w:val="1153"/>
    <w:pPr>
      <w:jc w:val="center"/>
      <w:keepNext/>
    </w:pPr>
    <w:rPr>
      <w:sz w:val="24"/>
      <w:szCs w:val="24"/>
    </w:rPr>
  </w:style>
  <w:style w:type="paragraph" w:styleId="1159">
    <w:name w:val="заголовок 6"/>
    <w:basedOn w:val="1153"/>
    <w:next w:val="1153"/>
    <w:link w:val="1153"/>
    <w:pPr>
      <w:jc w:val="center"/>
      <w:keepNext/>
    </w:pPr>
  </w:style>
  <w:style w:type="character" w:styleId="1160">
    <w:name w:val="Основной шрифт"/>
    <w:next w:val="1160"/>
    <w:link w:val="1153"/>
  </w:style>
  <w:style w:type="paragraph" w:styleId="1161">
    <w:name w:val="Верхний колонтитул"/>
    <w:basedOn w:val="1153"/>
    <w:next w:val="1161"/>
    <w:link w:val="1153"/>
    <w:pPr>
      <w:tabs>
        <w:tab w:val="center" w:pos="4153" w:leader="none"/>
        <w:tab w:val="right" w:pos="8306" w:leader="none"/>
      </w:tabs>
    </w:pPr>
  </w:style>
  <w:style w:type="paragraph" w:styleId="1162">
    <w:name w:val="Письмо главы"/>
    <w:basedOn w:val="1153"/>
    <w:next w:val="1162"/>
    <w:link w:val="1153"/>
    <w:pPr>
      <w:ind w:firstLine="709"/>
      <w:jc w:val="both"/>
    </w:pPr>
  </w:style>
  <w:style w:type="paragraph" w:styleId="1163">
    <w:name w:val="Нижний колонтитул"/>
    <w:basedOn w:val="1153"/>
    <w:next w:val="1163"/>
    <w:link w:val="1153"/>
    <w:pPr>
      <w:tabs>
        <w:tab w:val="center" w:pos="4153" w:leader="none"/>
        <w:tab w:val="right" w:pos="8306" w:leader="none"/>
      </w:tabs>
    </w:pPr>
  </w:style>
  <w:style w:type="character" w:styleId="1164">
    <w:name w:val="номер страницы"/>
    <w:basedOn w:val="1160"/>
    <w:next w:val="1164"/>
    <w:link w:val="1153"/>
  </w:style>
  <w:style w:type="paragraph" w:styleId="1165">
    <w:name w:val="Основной текст"/>
    <w:basedOn w:val="1153"/>
    <w:next w:val="1165"/>
    <w:link w:val="1153"/>
    <w:pPr>
      <w:jc w:val="both"/>
    </w:pPr>
    <w:rPr>
      <w:sz w:val="24"/>
      <w:szCs w:val="24"/>
    </w:rPr>
  </w:style>
  <w:style w:type="character" w:styleId="1166">
    <w:name w:val="Гиперссылка"/>
    <w:next w:val="1166"/>
    <w:link w:val="1153"/>
    <w:rPr>
      <w:color w:val="0000ff"/>
      <w:u w:val="single"/>
    </w:rPr>
  </w:style>
  <w:style w:type="paragraph" w:styleId="1167">
    <w:name w:val="Основной текст с отступом"/>
    <w:basedOn w:val="1153"/>
    <w:next w:val="1167"/>
    <w:link w:val="1153"/>
    <w:pPr>
      <w:jc w:val="center"/>
    </w:pPr>
    <w:rPr>
      <w:b/>
      <w:bCs/>
      <w:sz w:val="26"/>
      <w:szCs w:val="26"/>
    </w:rPr>
  </w:style>
  <w:style w:type="paragraph" w:styleId="1168">
    <w:name w:val="Основной текст с отступом 2"/>
    <w:basedOn w:val="1153"/>
    <w:next w:val="1168"/>
    <w:link w:val="1153"/>
    <w:pPr>
      <w:ind w:left="360"/>
      <w:jc w:val="both"/>
    </w:pPr>
  </w:style>
  <w:style w:type="paragraph" w:styleId="1169">
    <w:name w:val="Основной текст 3"/>
    <w:basedOn w:val="1153"/>
    <w:next w:val="1169"/>
    <w:link w:val="1153"/>
    <w:pPr>
      <w:jc w:val="center"/>
    </w:pPr>
    <w:rPr>
      <w:b/>
      <w:bCs/>
    </w:rPr>
  </w:style>
  <w:style w:type="paragraph" w:styleId="1170">
    <w:name w:val="Основной текст с отступом 3"/>
    <w:basedOn w:val="1153"/>
    <w:next w:val="1170"/>
    <w:link w:val="1153"/>
    <w:pPr>
      <w:ind w:left="-142" w:firstLine="851"/>
      <w:jc w:val="both"/>
    </w:pPr>
  </w:style>
  <w:style w:type="character" w:styleId="1171">
    <w:name w:val="Просмотренная гиперссылка"/>
    <w:next w:val="1171"/>
    <w:link w:val="1153"/>
    <w:rPr>
      <w:color w:val="800080"/>
      <w:u w:val="single"/>
    </w:rPr>
  </w:style>
  <w:style w:type="paragraph" w:styleId="1172">
    <w:name w:val="Титул"/>
    <w:next w:val="1172"/>
    <w:link w:val="1153"/>
    <w:pPr>
      <w:jc w:val="center"/>
    </w:pPr>
    <w:rPr>
      <w:sz w:val="28"/>
      <w:szCs w:val="28"/>
      <w:lang w:val="ru-RU" w:eastAsia="ru-RU" w:bidi="ar-SA"/>
    </w:rPr>
  </w:style>
  <w:style w:type="paragraph" w:styleId="1173">
    <w:name w:val="Style4"/>
    <w:basedOn w:val="1153"/>
    <w:next w:val="1173"/>
    <w:link w:val="1153"/>
    <w:pPr>
      <w:widowControl w:val="off"/>
    </w:pPr>
  </w:style>
  <w:style w:type="paragraph" w:styleId="1174">
    <w:name w:val="Текст выноски"/>
    <w:basedOn w:val="1153"/>
    <w:next w:val="1174"/>
    <w:link w:val="1175"/>
    <w:rPr>
      <w:rFonts w:ascii="Tahoma" w:hAnsi="Tahoma" w:cs="Tahoma"/>
      <w:sz w:val="16"/>
      <w:szCs w:val="16"/>
    </w:rPr>
  </w:style>
  <w:style w:type="character" w:styleId="1175">
    <w:name w:val="Текст выноски Знак"/>
    <w:next w:val="1175"/>
    <w:link w:val="1174"/>
    <w:rPr>
      <w:rFonts w:ascii="Tahoma" w:hAnsi="Tahoma" w:cs="Tahoma"/>
      <w:sz w:val="16"/>
      <w:szCs w:val="16"/>
    </w:rPr>
  </w:style>
  <w:style w:type="character" w:styleId="1176" w:default="1">
    <w:name w:val="Default Paragraph Font"/>
    <w:uiPriority w:val="1"/>
    <w:semiHidden/>
    <w:unhideWhenUsed/>
  </w:style>
  <w:style w:type="numbering" w:styleId="1177" w:default="1">
    <w:name w:val="No List"/>
    <w:uiPriority w:val="99"/>
    <w:semiHidden/>
    <w:unhideWhenUsed/>
  </w:style>
  <w:style w:type="table" w:styleId="1178" w:default="1">
    <w:name w:val="Normal Table"/>
    <w:uiPriority w:val="99"/>
    <w:semiHidden/>
    <w:unhideWhenUsed/>
    <w:tblPr/>
  </w:style>
  <w:style w:type="paragraph" w:styleId="1179" w:customStyle="1">
    <w:name w:val="paragraph"/>
    <w:basedOn w:val="1050"/>
    <w:link w:val="105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0" w:customStyle="1">
    <w:name w:val="Footnote_de1ec88f-7d25-4d34-a4df-31fe14573ec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1" w:customStyle="1">
    <w:name w:val="List Paragraph_4dd90a87-3bcc-4fc6-9eb6-fdc6e79e531e"/>
    <w:basedOn w:val="1094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2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3" w:customStyle="1">
    <w:name w:val="! ТЗ Стиль __ТекстОсн_1и + Times New Roman 12 пт По ширине Первая стр...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АНО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baa</dc:creator>
  <cp:lastModifiedBy>eei@NSO.LOC</cp:lastModifiedBy>
  <cp:revision>98</cp:revision>
  <dcterms:created xsi:type="dcterms:W3CDTF">2018-10-18T09:47:00Z</dcterms:created>
  <dcterms:modified xsi:type="dcterms:W3CDTF">2026-05-27T10:17:12Z</dcterms:modified>
  <cp:version>1048576</cp:version>
</cp:coreProperties>
</file>