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06071" cy="635000"/>
                <wp:effectExtent l="0" t="0" r="0" b="0"/>
                <wp:docPr id="1" name="Drawing 2" descr="novosibirskoj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osibirskoj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06071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0.71pt;height:50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bookmarkStart w:id="0" w:name="_GoBack"/>
      <w:bookmarkEnd w:id="0"/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865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rPr/>
        <w:tblPrEx/>
        <w:tc>
          <w:tcPr>
            <w:tcW w:w="4215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4573" w:type="dxa"/>
            <w:noWrap w:val="false"/>
            <w:textDirection w:val="lrTb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 Федеральным законом от 09.02.2009 № 8-ФЗ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Об обеспечении доступа к информации о</w:t>
      </w:r>
      <w:r>
        <w:rPr>
          <w:sz w:val="28"/>
          <w:szCs w:val="28"/>
          <w:lang w:val="en-US"/>
        </w:rPr>
        <w:t xml:space="preserve"> деятельности государственных органов и органов местного самоуправления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  <w:t xml:space="preserve">, Федеральным законом от 27.07.2010 № 210-ФЗ «Об организации предоставления государственных и муниципальных услуг», Законом Новосибирской области от 06.07.2018 № 271-ОЗ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Об управлении </w:t>
      </w:r>
      <w:r>
        <w:rPr>
          <w:sz w:val="28"/>
          <w:szCs w:val="28"/>
          <w:lang w:val="en-US"/>
        </w:rPr>
        <w:t xml:space="preserve">и распоряжении государственной собственностью Новосибирской области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  <w:t xml:space="preserve">, постановлением Правительства Новосибирской области от 18.10.2010 № 176-п «Об утверждении Порядка разработки и утверждения областными исполнительными органами Новосибирской области админи</w:t>
      </w:r>
      <w:r>
        <w:rPr>
          <w:sz w:val="28"/>
          <w:szCs w:val="28"/>
          <w:lang w:val="en-US"/>
        </w:rPr>
        <w:t xml:space="preserve">стративных регламентов предоставления государственных услуг», 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приказываю: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5" w:tooltip="https://login.consultant.ru/link/?rnd=4F76CFA3B754175EE6B7A4131CD947A5&amp;req=doc&amp;base=LAW&amp;n=314549&amp;dst=100017&amp;fld=134&amp;date=22.01.2020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8"/>
          <w:szCs w:val="28"/>
        </w:rPr>
        <w:t xml:space="preserve">» (далее – Административный регламент)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numPr>
          <w:numId w:val="1"/>
          <w:ilvl w:val="0"/>
        </w:numPr>
        <w:tabs>
          <w:tab w:val="left" w:pos="1134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29.12.2010 № 2301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Об утверждении административного регламента предоставления </w:t>
      </w:r>
      <w:r>
        <w:rPr>
          <w:sz w:val="28"/>
          <w:szCs w:val="28"/>
          <w:lang w:val="en-US"/>
        </w:rPr>
        <w:t xml:space="preserve">департаментом имущества и земельных отношений Новосибирской области 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25.08.2011 № 1759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приказ департамента имущества и земельных отношений Новосибирской области от 29.12.2010 № 2301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15.06</w:t>
      </w:r>
      <w:r>
        <w:rPr>
          <w:sz w:val="28"/>
          <w:szCs w:val="28"/>
          <w:lang w:val="en-US"/>
        </w:rPr>
        <w:t xml:space="preserve">.2012 № 1178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административный регламент по предоставлению государственной услуги по предоставлению информации об объектах недвижимого имущества, находящихся в собственности Новосибирской области и предназначенных для сдачи в аренду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</w:t>
      </w:r>
      <w:r>
        <w:rPr>
          <w:sz w:val="28"/>
          <w:szCs w:val="28"/>
          <w:lang w:val="en-US"/>
        </w:rPr>
        <w:t xml:space="preserve">мента имущества и земельных отношений Новосибирской области от 30.11.2012 № 2231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приказы департамента имущества и земельных отношений Новосибирской области от 29.12.2010 № 2301 (в редакции от 15.06.2012 № 1178), от 12.03.2012 № 401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23.05</w:t>
      </w:r>
      <w:r>
        <w:rPr>
          <w:sz w:val="28"/>
          <w:szCs w:val="28"/>
          <w:lang w:val="en-US"/>
        </w:rPr>
        <w:t xml:space="preserve">.2014 № 1397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административный регламент по предоставлению государственной услуги по предоставлению информации об объектах недвижимого имущества, находящихся в собственности Новосибирской области и предназначенных для сдачи в аренду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08.08.2014 № 1906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приказ департамента имущества и земельных отношений Новосибирской области от 19.12.2010 № 2301 (в редакции от 23.05.2014 № 1397)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18.12.2014 № 2814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приказ департамента имущества и земельных отношений Новосибирской области от 19.12.2010 № 2301 (в редакции от 08.08.2014 № 1906)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15.05.2015 № 1068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приказ департамента имущества и земельных отношений Новосибирской области от 19.12.2010 № 2301 (в редакции от 18.12.2014 № 2814)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28.03.2016 № 548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приказ департамента имущества и земельных отношений Новосибирской области от 29.12.2010 № 2301 (в редакции приказа от 15.05.2015 № 1068)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24.04.2017 № 1333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приказ департамента имущества и земельных отношений Новосибирской области от 29.12.2010 № 2301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20.12.2017 № 5775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приказ департамента имущества и земельных отношений Новосибирской области от 29.12.2010 № 2301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09.11.2018 № 4640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приказ департамента имущества и земельных отношений Новосибирской области от 29.12.2010 № 2301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23.05.2019 № 2105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приказ департамента имущества и земельных отношений Новосибирской области от 29.12.2010 № 2301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03.08.2021 № 2927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 внесении изменений в приказ департамента имущества и земельных отношений Новосибирской области от 29.12.2010 № 2301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Отделу обеспечения доходов (А.С. Адольф) обеспечить организацию предоставления государственной услуги в соответствии с Административным регламентом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tbl>
      <w:tblPr>
        <w:tblStyle w:val="865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rPr/>
        <w:tblPrEx/>
        <w:tc>
          <w:tcPr>
            <w:tcW w:w="3114" w:type="dxa"/>
            <w:noWrap w:val="false"/>
            <w:textDirection w:val="lrTb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POSITIONAPPROVING</w:t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17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FIOAPPROVING</w:t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>
        <w:rPr>
          <w:lang w:val="en-US"/>
        </w:rPr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  <w:r>
        <w:rPr>
          <w:rFonts w:eastAsia="Yu Gothic Light"/>
          <w:b/>
          <w:bCs/>
          <w:sz w:val="28"/>
          <w:szCs w:val="28"/>
          <w:lang w:val="en-US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юридическим лицам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физическим лицам, в том числе индивидуальным предпринимателям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уполномоченным представителям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876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lang w:eastAsia="ru-RU"/>
        </w:rPr>
        <w:t xml:space="preserve">муниципальных услуг (функций)»</w:t>
      </w:r>
      <w:r>
        <w:rPr>
          <w:rStyle w:val="876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  <w:r>
        <w:rPr>
          <w:b/>
          <w:sz w:val="28"/>
          <w:szCs w:val="28"/>
          <w:lang w:eastAsia="ru-RU"/>
        </w:rPr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департаментом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могут принять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информация об объекте недвижимого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государственной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рабочих дней</w:t>
      </w:r>
      <w:r>
        <w:rPr>
          <w:rStyle w:val="876"/>
          <w:sz w:val="28"/>
          <w:szCs w:val="28"/>
          <w:lang w:eastAsia="ru-RU"/>
        </w:rPr>
        <w:footnoteReference w:id="4"/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sz w:val="28"/>
          <w:szCs w:val="28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rStyle w:val="876"/>
          <w:sz w:val="28"/>
          <w:szCs w:val="28"/>
          <w:lang w:eastAsia="ru-RU"/>
        </w:rPr>
        <w:footnoteReference w:id="5"/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обращается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2</w:t>
      </w:r>
      <w:r>
        <w:rPr>
          <w:sz w:val="28"/>
          <w:szCs w:val="28"/>
          <w:lang w:val="en-US"/>
        </w:rPr>
        <w:t xml:space="preserve">: 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обращается через уполномоченного представителя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лицо, в том числе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обращается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лицо, в том числе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обращается через уполномоченного представителя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лицо, в том числе индивидуальный предприниматель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  <w:lang w:val="en-US"/>
        </w:rPr>
        <w:t xml:space="preserve"> 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почтового отправления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66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color w:val="000000" w:themeColor="text1"/>
          <w:sz w:val="28"/>
          <w:szCs w:val="28"/>
          <w:lang w:val="en-US"/>
        </w:rPr>
        <w:t xml:space="preserve">запрашиваемая информация относится к имуществу, находящемуся в государственной собственности Новосибирской области и закрепленному на праве хозяйственного ведения или оперативного управления з</w:t>
      </w:r>
      <w:r>
        <w:rPr>
          <w:color w:val="000000" w:themeColor="text1"/>
          <w:sz w:val="28"/>
          <w:szCs w:val="28"/>
          <w:lang w:val="en-US"/>
        </w:rPr>
        <w:t xml:space="preserve">а унитарными пр</w:t>
      </w:r>
      <w:r>
        <w:rPr>
          <w:color w:val="000000" w:themeColor="text1"/>
          <w:sz w:val="28"/>
          <w:szCs w:val="28"/>
          <w:lang w:val="en-US"/>
        </w:rPr>
        <w:t xml:space="preserve">едприятиями Новосибирской области, оперативного управления за государственными бюджетными и автономными учреждениями Новосибирской области (в данном случае Органом власти предоставляется информация о правообладателе: наименование, адрес, контактный телефон</w:t>
      </w:r>
      <w:r>
        <w:rPr>
          <w:color w:val="000000" w:themeColor="text1"/>
          <w:sz w:val="28"/>
          <w:szCs w:val="28"/>
          <w:lang w:val="en-US"/>
        </w:rPr>
        <w:t xml:space="preserve">);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находится в обременении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относится к информации ограниченного доступа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не относится к информации об имуществе, находящемся в государственной собственности Новосибирской области и предназначенном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запроса не позволяет установить запрашиваемую информацию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ставится вопрос о правовой оценке актов, принятых государственным органом, органом местного самоуправления, проведении анализа деятел</w:t>
      </w:r>
      <w:r>
        <w:rPr>
          <w:sz w:val="28"/>
          <w:szCs w:val="28"/>
          <w:lang w:val="en-US"/>
        </w:rPr>
        <w:t xml:space="preserve">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информация ранее предоставлялась пользователю информацией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66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color w:val="000000" w:themeColor="text1"/>
          <w:sz w:val="28"/>
          <w:szCs w:val="28"/>
          <w:lang w:val="en-US"/>
        </w:rPr>
        <w:t xml:space="preserve">запрашиваемая информация относится к имуществу, находящемуся в государственной собственности Новосибирской области и закрепленному на праве хозяйственного ведения или оперативного управления з</w:t>
      </w:r>
      <w:r>
        <w:rPr>
          <w:color w:val="000000" w:themeColor="text1"/>
          <w:sz w:val="28"/>
          <w:szCs w:val="28"/>
          <w:lang w:val="en-US"/>
        </w:rPr>
        <w:t xml:space="preserve">а унитарными пр</w:t>
      </w:r>
      <w:r>
        <w:rPr>
          <w:color w:val="000000" w:themeColor="text1"/>
          <w:sz w:val="28"/>
          <w:szCs w:val="28"/>
          <w:lang w:val="en-US"/>
        </w:rPr>
        <w:t xml:space="preserve">едприятиями Новосибирской области, оперативного управления за государственными бюджетными и автономными учреждениями Новосибирской области (в данном случае Органом власти предоставляется информация о правообладателе: наименование, адрес, контактный телефон</w:t>
      </w:r>
      <w:r>
        <w:rPr>
          <w:color w:val="000000" w:themeColor="text1"/>
          <w:sz w:val="28"/>
          <w:szCs w:val="28"/>
          <w:lang w:val="en-US"/>
        </w:rPr>
        <w:t xml:space="preserve">);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находится в обременении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относится к информации ограниченного доступа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не относится к информации об имуществе, находящемся в государственной собственности Новосибирской области и предназначенном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запроса не позволяет установить запрашиваемую информацию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ставится вопрос о правовой оценке актов, принятых государственным органом, органом местного самоуправления, проведении анализа деятел</w:t>
      </w:r>
      <w:r>
        <w:rPr>
          <w:sz w:val="28"/>
          <w:szCs w:val="28"/>
          <w:lang w:val="en-US"/>
        </w:rPr>
        <w:t xml:space="preserve">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информация ранее предоставлялась пользователю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подача заявления (запроса) от имени заявителя не уполномоченным на то лицом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66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color w:val="000000" w:themeColor="text1"/>
          <w:sz w:val="28"/>
          <w:szCs w:val="28"/>
          <w:lang w:val="en-US"/>
        </w:rPr>
        <w:t xml:space="preserve">запрашиваемая информация относится к имуществу, находящемуся в государственной собственности Новосибирской области и закрепленному на праве хозяйственного ведения или оперативного управления з</w:t>
      </w:r>
      <w:r>
        <w:rPr>
          <w:color w:val="000000" w:themeColor="text1"/>
          <w:sz w:val="28"/>
          <w:szCs w:val="28"/>
          <w:lang w:val="en-US"/>
        </w:rPr>
        <w:t xml:space="preserve">а унитарными пр</w:t>
      </w:r>
      <w:r>
        <w:rPr>
          <w:color w:val="000000" w:themeColor="text1"/>
          <w:sz w:val="28"/>
          <w:szCs w:val="28"/>
          <w:lang w:val="en-US"/>
        </w:rPr>
        <w:t xml:space="preserve">едприятиями Новосибирской области, оперативного управления за государственными бюджетными и автономными учреждениями Новосибирской области (в данном случае Органом власти предоставляется информация о правообладателе: наименование, адрес, контактный телефон</w:t>
      </w:r>
      <w:r>
        <w:rPr>
          <w:color w:val="000000" w:themeColor="text1"/>
          <w:sz w:val="28"/>
          <w:szCs w:val="28"/>
          <w:lang w:val="en-US"/>
        </w:rPr>
        <w:t xml:space="preserve">);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находится в обременении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относится к информации ограниченного доступа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не относится к информации об имуществе, находящемся в государственной собственности Новосибирской области и предназначенном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запроса не позволяет установить запрашиваемую информацию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ставится вопрос о правовой оценке актов, принятых государственным органом, органом местного самоуправления, проведении анализа деятел</w:t>
      </w:r>
      <w:r>
        <w:rPr>
          <w:sz w:val="28"/>
          <w:szCs w:val="28"/>
          <w:lang w:val="en-US"/>
        </w:rPr>
        <w:t xml:space="preserve">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информация ранее предоставлялась пользователю информацией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66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color w:val="000000" w:themeColor="text1"/>
          <w:sz w:val="28"/>
          <w:szCs w:val="28"/>
          <w:lang w:val="en-US"/>
        </w:rPr>
        <w:t xml:space="preserve">запрашиваемая информация относится к имуществу, находящемуся в государственной собственности Новосибирской области и закрепленному на праве хозяйственного ведения или оперативного управления з</w:t>
      </w:r>
      <w:r>
        <w:rPr>
          <w:color w:val="000000" w:themeColor="text1"/>
          <w:sz w:val="28"/>
          <w:szCs w:val="28"/>
          <w:lang w:val="en-US"/>
        </w:rPr>
        <w:t xml:space="preserve">а унитарными пр</w:t>
      </w:r>
      <w:r>
        <w:rPr>
          <w:color w:val="000000" w:themeColor="text1"/>
          <w:sz w:val="28"/>
          <w:szCs w:val="28"/>
          <w:lang w:val="en-US"/>
        </w:rPr>
        <w:t xml:space="preserve">едприятиями Новосибирской области, оперативного управления за государственными бюджетными и автономными учреждениями Новосибирской области (в данном случае Органом власти предоставляется информация о правообладателе: наименование, адрес, контактный телефон</w:t>
      </w:r>
      <w:r>
        <w:rPr>
          <w:color w:val="000000" w:themeColor="text1"/>
          <w:sz w:val="28"/>
          <w:szCs w:val="28"/>
          <w:lang w:val="en-US"/>
        </w:rPr>
        <w:t xml:space="preserve">);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находится в обременении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относится к информации ограниченного доступа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заявителем информация не относится к информации об имуществе, находящемся в государственной собственности Новосибирской области и предназначенном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запроса не позволяет установить запрашиваемую информацию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запросе ставится вопрос о правовой оценке актов, принятых государственным органом, органом местного самоуправления, проведении анализа деятел</w:t>
      </w:r>
      <w:r>
        <w:rPr>
          <w:sz w:val="28"/>
          <w:szCs w:val="28"/>
          <w:lang w:val="en-US"/>
        </w:rPr>
        <w:t xml:space="preserve">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запрашиваемая информация ранее предоставлялась пользователю информацией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подача заявления (запроса) от имени заявителя не уполномоченным на то лицом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информация об объекте недвижимого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государственной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66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66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личность заявителя не подтверждена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не представлен документ, подтверждающий полномочия представителя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66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  <w:r>
        <w:rPr>
          <w:b/>
          <w:bCs/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официальном сайте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(www.gosuslugi.ru)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МФЦ в сети "Интернет"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 w:leader="none"/>
          <w:tab w:val="num" w:pos="1560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Style w:val="877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pStyle w:val="877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>
        <w:rPr>
          <w:sz w:val="28"/>
          <w:szCs w:val="28"/>
          <w:lang w:val="en-US"/>
        </w:rPr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  <w:r>
        <w:rPr>
          <w:sz w:val="28"/>
          <w:szCs w:val="28"/>
          <w:lang w:eastAsia="ru-RU"/>
        </w:rPr>
      </w:r>
    </w:p>
    <w:tbl>
      <w:tblPr>
        <w:tblStyle w:val="86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rPr>
          <w:trHeight w:val="426"/>
        </w:trPr>
        <w:tblPrEx/>
        <w:tc>
          <w:tcPr>
            <w:tcW w:w="10065" w:type="dxa"/>
            <w:gridSpan w:val="2"/>
            <w:noWrap w:val="false"/>
            <w:textDirection w:val="lrTb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szCs w:val="20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обращается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обращается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обращается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обращается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blPrEx/>
        <w:tc>
          <w:tcPr>
            <w:tcW w:w="10065" w:type="dxa"/>
            <w:gridSpan w:val="2"/>
            <w:noWrap w:val="false"/>
            <w:textDirection w:val="lrTb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szCs w:val="20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  <w:r>
        <w:rPr>
          <w:sz w:val="28"/>
          <w:szCs w:val="28"/>
          <w:lang w:eastAsia="ru-RU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rPr>
          <w:trHeight w:val="339"/>
        </w:trPr>
        <w:tblPrEx/>
        <w:tc>
          <w:tcPr>
            <w:tcW w:w="10065" w:type="dxa"/>
            <w:gridSpan w:val="3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Заявитель обращается лично или через представителя?</w:t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Обращается лично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Обращается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blPrEx/>
        <w:tc>
          <w:tcPr>
            <w:tcW w:w="10065" w:type="dxa"/>
            <w:gridSpan w:val="3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863"/>
        <w:keepNext/>
        <w:tabs>
          <w:tab w:val="clear" w:pos="851" w:leader="none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8"/>
          <w:szCs w:val="28"/>
          <w:lang w:val="en-US" w:eastAsia="ru-RU"/>
        </w:rPr>
        <w:br w:type="page" w:clear="all"/>
      </w:r>
      <w:r>
        <w:rPr>
          <w:lang w:val="en-US"/>
        </w:rPr>
      </w:r>
      <w:r>
        <w:rPr>
          <w:sz w:val="28"/>
          <w:szCs w:val="28"/>
          <w:lang w:val="en-US"/>
        </w:rPr>
      </w:r>
    </w:p>
    <w:p>
      <w:pPr>
        <w:pStyle w:val="877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szCs w:val="20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77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>
        <w:rPr>
          <w:sz w:val="28"/>
          <w:szCs w:val="28"/>
          <w:lang w:val="en-US"/>
        </w:rPr>
      </w:r>
    </w:p>
    <w:p>
      <w:pPr>
        <w:pStyle w:val="863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863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</w:t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</w:p>
    <w:p>
      <w:pPr>
        <w:pStyle w:val="863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0"/>
          <w:lang w:val="en-US"/>
        </w:rPr>
      </w:r>
    </w:p>
    <w:p>
      <w:pPr>
        <w:pStyle w:val="863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2</w:t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</w:p>
    <w:p>
      <w:pPr>
        <w:pStyle w:val="863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0"/>
          <w:lang w:val="en-US"/>
        </w:rPr>
      </w:r>
    </w:p>
    <w:p>
      <w:pPr>
        <w:pStyle w:val="863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3</w:t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</w:p>
    <w:p>
      <w:pPr>
        <w:pStyle w:val="863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0"/>
          <w:lang w:val="en-US"/>
        </w:rPr>
      </w:r>
    </w:p>
    <w:p>
      <w:pPr>
        <w:pStyle w:val="863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4</w:t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</w:p>
    <w:p>
      <w:pPr>
        <w:pStyle w:val="863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</w:r>
    </w:p>
    <w:p>
      <w:pPr>
        <w:pStyle w:val="863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5</w:t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7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заявителя (отчество 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567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40504090204"/>
  </w:font>
  <w:font w:name="Yu Gothic Light">
    <w:panose1 w:val="00000709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2">
    <w:p>
      <w:pPr>
        <w:pStyle w:val="874"/>
        <w:jc w:val="both"/>
      </w:pPr>
      <w:r>
        <w:rPr>
          <w:rStyle w:val="876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874"/>
        <w:jc w:val="both"/>
      </w:pPr>
      <w:r>
        <w:rPr>
          <w:rStyle w:val="876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  <w:footnote w:id="4"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rStyle w:val="876"/>
          <w:szCs w:val="20"/>
          <w:lang w:eastAsia="ru-RU"/>
        </w:rPr>
        <w:footnoteRef/>
      </w: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в указанный срок включается процедура продления предоставления государственной услуги не более чем на 10 рабочих дней, в случае если</w:t>
      </w:r>
      <w:r>
        <w:rPr>
          <w:szCs w:val="20"/>
          <w:lang w:val="en-US"/>
        </w:rPr>
        <w:t xml:space="preserve"> предоставление информации невозможно в срок двадцать рабочих дней, в соответствии с пунктом 6 статьи 18 Федерального закона от 09.02.2009 № 8-ФЗ "Об обеспечении доступа к информации о деятельности государственных органов и органов местного самоуправления"</w:t>
      </w:r>
      <w:r>
        <w:rPr>
          <w:szCs w:val="20"/>
          <w:lang w:val="en-US"/>
        </w:rPr>
        <w:t xml:space="preserve">.</w:t>
      </w:r>
      <w:r>
        <w:rPr>
          <w:szCs w:val="20"/>
          <w:lang w:val="en-US"/>
        </w:rPr>
      </w:r>
    </w:p>
  </w:footnote>
  <w:footnote w:id="5">
    <w:p>
      <w:pPr>
        <w:jc w:val="both"/>
        <w:rPr>
          <w:szCs w:val="20"/>
        </w:rPr>
      </w:pPr>
      <w:r>
        <w:rPr>
          <w:rStyle w:val="876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  <w:r>
        <w:rPr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9332274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8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</w:p>
  <w:p>
    <w:pPr>
      <w:pStyle w:val="8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</w:p>
    </w:sdtContent>
  </w:sdt>
  <w:p>
    <w:pPr>
      <w:pStyle w:val="86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</w:p>
  <w:p>
    <w:pPr>
      <w:pStyle w:val="8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7" w:leader="none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7" w:leader="none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57" w:leader="none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53"/>
    <w:link w:val="8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53"/>
    <w:link w:val="8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53"/>
    <w:link w:val="8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53"/>
    <w:link w:val="8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53"/>
    <w:link w:val="8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53"/>
    <w:link w:val="88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52"/>
    <w:next w:val="852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52"/>
    <w:next w:val="852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52"/>
    <w:next w:val="852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852"/>
    <w:next w:val="852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853"/>
    <w:link w:val="34"/>
    <w:uiPriority w:val="10"/>
    <w:rPr>
      <w:sz w:val="48"/>
      <w:szCs w:val="48"/>
    </w:rPr>
  </w:style>
  <w:style w:type="paragraph" w:styleId="36">
    <w:name w:val="Subtitle"/>
    <w:basedOn w:val="852"/>
    <w:next w:val="8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53"/>
    <w:link w:val="36"/>
    <w:uiPriority w:val="11"/>
    <w:rPr>
      <w:sz w:val="24"/>
      <w:szCs w:val="24"/>
    </w:rPr>
  </w:style>
  <w:style w:type="paragraph" w:styleId="38">
    <w:name w:val="Quote"/>
    <w:basedOn w:val="852"/>
    <w:next w:val="8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52"/>
    <w:next w:val="85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53"/>
    <w:link w:val="867"/>
    <w:uiPriority w:val="99"/>
  </w:style>
  <w:style w:type="character" w:styleId="45">
    <w:name w:val="Footer Char"/>
    <w:basedOn w:val="853"/>
    <w:link w:val="869"/>
    <w:uiPriority w:val="99"/>
  </w:style>
  <w:style w:type="paragraph" w:styleId="4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69"/>
    <w:uiPriority w:val="99"/>
  </w:style>
  <w:style w:type="table" w:styleId="4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74"/>
    <w:uiPriority w:val="99"/>
    <w:rPr>
      <w:sz w:val="18"/>
    </w:rPr>
  </w:style>
  <w:style w:type="character" w:styleId="179">
    <w:name w:val="Endnote Text Char"/>
    <w:link w:val="871"/>
    <w:uiPriority w:val="99"/>
    <w:rPr>
      <w:sz w:val="20"/>
    </w:rPr>
  </w:style>
  <w:style w:type="paragraph" w:styleId="181">
    <w:name w:val="toc 1"/>
    <w:basedOn w:val="852"/>
    <w:next w:val="852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852"/>
    <w:next w:val="852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852"/>
    <w:next w:val="852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852"/>
    <w:next w:val="852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852"/>
    <w:next w:val="852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852"/>
    <w:next w:val="852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852"/>
    <w:next w:val="852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852"/>
    <w:next w:val="852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852"/>
    <w:next w:val="852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character" w:styleId="856">
    <w:name w:val="annotation reference"/>
    <w:uiPriority w:val="99"/>
    <w:rPr>
      <w:sz w:val="16"/>
      <w:szCs w:val="16"/>
    </w:rPr>
  </w:style>
  <w:style w:type="paragraph" w:styleId="857">
    <w:name w:val="annotation text"/>
    <w:basedOn w:val="852"/>
    <w:link w:val="858"/>
    <w:uiPriority w:val="99"/>
    <w:unhideWhenUsed/>
    <w:rPr>
      <w:szCs w:val="20"/>
    </w:rPr>
  </w:style>
  <w:style w:type="character" w:styleId="858" w:customStyle="1">
    <w:name w:val="Текст примечания Знак"/>
    <w:basedOn w:val="853"/>
    <w:link w:val="857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859">
    <w:name w:val="Balloon Text"/>
    <w:basedOn w:val="852"/>
    <w:link w:val="86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basedOn w:val="853"/>
    <w:link w:val="85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61">
    <w:name w:val="annotation subject"/>
    <w:basedOn w:val="857"/>
    <w:next w:val="857"/>
    <w:link w:val="862"/>
    <w:uiPriority w:val="99"/>
    <w:semiHidden/>
    <w:unhideWhenUsed/>
    <w:rPr>
      <w:b/>
      <w:bCs/>
    </w:rPr>
  </w:style>
  <w:style w:type="character" w:styleId="862" w:customStyle="1">
    <w:name w:val="Тема примечания Знак"/>
    <w:basedOn w:val="858"/>
    <w:link w:val="861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63" w:customStyle="1">
    <w:name w:val="! ТЗ Стиль __ТекстОсн_1и + Times New Roman 12 пт По ширине Первая стр..."/>
    <w:basedOn w:val="852"/>
    <w:qFormat/>
    <w:pPr>
      <w:tabs>
        <w:tab w:val="left" w:pos="851" w:leader="none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styleId="864" w:customStyle="1">
    <w:name w:val="Сетка таблицы3"/>
    <w:basedOn w:val="854"/>
    <w:next w:val="865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5">
    <w:name w:val="Table Grid"/>
    <w:basedOn w:val="8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6">
    <w:name w:val="List Paragraph"/>
    <w:basedOn w:val="852"/>
    <w:uiPriority w:val="34"/>
    <w:qFormat/>
    <w:pPr>
      <w:ind w:left="720"/>
      <w:contextualSpacing/>
    </w:pPr>
  </w:style>
  <w:style w:type="paragraph" w:styleId="867">
    <w:name w:val="Header"/>
    <w:basedOn w:val="852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3"/>
    <w:link w:val="867"/>
    <w:uiPriority w:val="99"/>
    <w:rPr>
      <w:rFonts w:ascii="Times New Roman" w:hAnsi="Times New Roman" w:eastAsia="Times New Roman" w:cs="Times New Roman"/>
      <w:sz w:val="20"/>
    </w:rPr>
  </w:style>
  <w:style w:type="paragraph" w:styleId="869">
    <w:name w:val="Footer"/>
    <w:basedOn w:val="852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53"/>
    <w:link w:val="869"/>
    <w:uiPriority w:val="99"/>
    <w:rPr>
      <w:rFonts w:ascii="Times New Roman" w:hAnsi="Times New Roman" w:eastAsia="Times New Roman" w:cs="Times New Roman"/>
      <w:sz w:val="20"/>
    </w:rPr>
  </w:style>
  <w:style w:type="paragraph" w:styleId="871">
    <w:name w:val="endnote text"/>
    <w:basedOn w:val="852"/>
    <w:link w:val="872"/>
    <w:uiPriority w:val="99"/>
    <w:semiHidden/>
    <w:unhideWhenUsed/>
    <w:rPr>
      <w:szCs w:val="20"/>
    </w:rPr>
  </w:style>
  <w:style w:type="character" w:styleId="872" w:customStyle="1">
    <w:name w:val="Текст концевой сноски Знак"/>
    <w:basedOn w:val="853"/>
    <w:link w:val="871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873">
    <w:name w:val="endnote reference"/>
    <w:basedOn w:val="853"/>
    <w:uiPriority w:val="99"/>
    <w:semiHidden/>
    <w:unhideWhenUsed/>
    <w:rPr>
      <w:vertAlign w:val="superscript"/>
    </w:rPr>
  </w:style>
  <w:style w:type="paragraph" w:styleId="874">
    <w:name w:val="footnote text"/>
    <w:basedOn w:val="852"/>
    <w:link w:val="875"/>
    <w:uiPriority w:val="99"/>
    <w:unhideWhenUsed/>
    <w:rPr>
      <w:szCs w:val="20"/>
    </w:rPr>
  </w:style>
  <w:style w:type="character" w:styleId="875" w:customStyle="1">
    <w:name w:val="Текст сноски Знак"/>
    <w:basedOn w:val="853"/>
    <w:link w:val="874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876">
    <w:name w:val="footnote reference"/>
    <w:basedOn w:val="853"/>
    <w:uiPriority w:val="99"/>
    <w:semiHidden/>
    <w:unhideWhenUsed/>
    <w:rPr>
      <w:vertAlign w:val="superscript"/>
    </w:rPr>
  </w:style>
  <w:style w:type="paragraph" w:styleId="87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878">
    <w:name w:val="Body Text"/>
    <w:basedOn w:val="852"/>
    <w:link w:val="879"/>
    <w:uiPriority w:val="1"/>
    <w:qFormat/>
    <w:pPr>
      <w:widowControl w:val="off"/>
    </w:pPr>
    <w:rPr>
      <w:sz w:val="24"/>
      <w:szCs w:val="24"/>
    </w:rPr>
  </w:style>
  <w:style w:type="character" w:styleId="879" w:customStyle="1">
    <w:name w:val="Основной текст Знак"/>
    <w:basedOn w:val="853"/>
    <w:link w:val="878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880">
    <w:name w:val="HTML Code"/>
    <w:basedOn w:val="853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paragraph" w:styleId="882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3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85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86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887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jpg"/><Relationship Id="rId1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rtlabs.ru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4</cp:revision>
  <dcterms:created xsi:type="dcterms:W3CDTF">2025-01-21T12:28:00Z</dcterms:created>
  <dcterms:modified xsi:type="dcterms:W3CDTF">2025-05-15T09:15:55Z</dcterms:modified>
</cp:coreProperties>
</file>