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06071" cy="635000"/>
                <wp:effectExtent l="0" t="0" r="0" b="0"/>
                <wp:docPr id="1" name="Drawing 2" descr="novosibirskoj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osibirskoj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06071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0.71pt;height:50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bookmarkStart w:id="0" w:name="_GoBack"/>
      <w:bookmarkEnd w:id="0"/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ПРИКАЗ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851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rPr/>
        <w:tblPrEx/>
        <w:tc>
          <w:tcPr>
            <w:tcW w:w="421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4573" w:type="dxa"/>
            <w:noWrap w:val="false"/>
            <w:textDirection w:val="lrTb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департамент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Предоставление в аренду имущества казны Новосибирской области без проведения торгов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соответствии с Федеральным законом от 26.07.2006 № 135-ФЗ "О защите конкуренции</w:t>
      </w:r>
      <w:r>
        <w:rPr>
          <w:sz w:val="28"/>
          <w:szCs w:val="28"/>
          <w:lang w:val="en-US"/>
        </w:rPr>
        <w:t xml:space="preserve">", Федеральным законом от 27.07.2010 № 210-ФЗ "Об организации предоставления государственных и муниципальных услуг", Законом Новосибирской области от 06.07.2018 № 271-ОЗ "Об управлении и распоряжении государственной собственностью Новосибирской области", п</w:t>
      </w:r>
      <w:r>
        <w:rPr>
          <w:sz w:val="28"/>
          <w:szCs w:val="28"/>
          <w:lang w:val="en-US"/>
        </w:rPr>
        <w:t xml:space="preserve">остановлением Правительства Новосибирской области от 18.10.2010 № 176-п "Об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услуг", приказом </w:t>
      </w:r>
      <w:r>
        <w:rPr>
          <w:sz w:val="28"/>
          <w:szCs w:val="28"/>
          <w:lang w:val="en-US"/>
        </w:rPr>
        <w:t xml:space="preserve">департамента имущества и земельных отношений Новосибирской области от 30.07.2021 N 2860 "Об утверждении порядка сдачи в аренду имущества, находящегося в государственной собственности Новосибирской области, и типовых форм договоров аренды имущества, находящ</w:t>
      </w:r>
      <w:r>
        <w:rPr>
          <w:sz w:val="28"/>
          <w:szCs w:val="28"/>
          <w:lang w:val="en-US"/>
        </w:rPr>
        <w:t xml:space="preserve">егося в государственной собственности Новосибирской области", руководствуясь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 14.12.2016 № 428-п, приказываю: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tooltip="https://login.consultant.ru/link/?rnd=4F76CFA3B754175EE6B7A4131CD947A5&amp;req=doc&amp;base=LAW&amp;n=314549&amp;dst=100017&amp;fld=134&amp;date=22.01.2020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департамента имущества и земельных отношений Новосибирской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</w:t>
      </w:r>
      <w:r>
        <w:rPr>
          <w:sz w:val="28"/>
          <w:szCs w:val="28"/>
          <w:lang w:eastAsia="ru-RU"/>
        </w:rPr>
        <w:t xml:space="preserve">государственной</w:t>
      </w:r>
      <w:r>
        <w:rPr>
          <w:sz w:val="28"/>
          <w:szCs w:val="28"/>
          <w:lang w:eastAsia="ru-RU"/>
        </w:rPr>
        <w:t xml:space="preserve">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утратившим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силу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Приказ департамента имущества и земельных отношений Новосибирской области от 18.1</w:t>
      </w:r>
      <w:r>
        <w:rPr>
          <w:sz w:val="28"/>
          <w:szCs w:val="28"/>
          <w:lang w:val="en-US"/>
        </w:rPr>
        <w:t xml:space="preserve">2.2024 N 4136-НПА "Об утверждении Административного регламента департамента имущества и земельных отношений Новосибирской области по предоставлению государственной услуги "Предоставление в аренду имущества казны Новосибирской области без проведения торгов"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keepNext/>
        <w:numPr>
          <w:numId w:val="1"/>
          <w:ilvl w:val="0"/>
        </w:numPr>
        <w:tabs>
          <w:tab w:val="left" w:pos="1134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Отделу обеспечения доходов (А.С. Адольф) обеспечить организацию предоставления государственной услуги в соответствии с Административным регламентом.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tbl>
      <w:tblPr>
        <w:tblStyle w:val="851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rPr/>
        <w:tblPrEx/>
        <w:tc>
          <w:tcPr>
            <w:tcW w:w="3114" w:type="dxa"/>
            <w:noWrap w:val="false"/>
            <w:textDirection w:val="lrTb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  <w:r>
              <w:rPr>
                <w:sz w:val="28"/>
                <w:szCs w:val="28"/>
              </w:rPr>
            </w:r>
          </w:p>
        </w:tc>
        <w:tc>
          <w:tcPr>
            <w:tcW w:w="3827" w:type="dxa"/>
            <w:noWrap w:val="false"/>
            <w:textDirection w:val="lrTb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noWrap w:val="false"/>
            <w:textDirection w:val="lrTb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spacing w:before="240"/>
        <w:ind w:left="6237"/>
        <w:rPr>
          <w:lang w:val="en-US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lang w:val="en-US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  <w:t xml:space="preserve">Департамента имущества и земельных отношений Новосибирской области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в аренду имущества казны Новосибирской области без проведения торгов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lang w:val="en-US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юридическим лицам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физическим лицам, в том числе индивидуальным предпринимателям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представителям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862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lang w:eastAsia="ru-RU"/>
        </w:rPr>
        <w:t xml:space="preserve">муниципальных услуг (функций)»</w:t>
      </w:r>
      <w:r>
        <w:rPr>
          <w:rStyle w:val="862"/>
          <w:sz w:val="28"/>
          <w:szCs w:val="28"/>
          <w:lang w:eastAsia="ru-RU"/>
        </w:rPr>
        <w:footnoteReference w:id="3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  <w:r>
        <w:rPr>
          <w:b/>
          <w:sz w:val="28"/>
          <w:szCs w:val="28"/>
          <w:lang w:eastAsia="ru-RU"/>
        </w:rPr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Департаментом имущества и земельных отношений Новосибирской области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val="en-US" w:eastAsia="ru-RU"/>
        </w:rPr>
        <w:t xml:space="preserve"> – </w:t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могут принять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аренду без проведения торгов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договор аренды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электронной почты</w:t>
      </w:r>
      <w:r>
        <w:rPr>
          <w:sz w:val="28"/>
          <w:szCs w:val="28"/>
        </w:rPr>
        <w:t xml:space="preserve">.</w:t>
      </w:r>
      <w:r>
        <w:rPr>
          <w:sz w:val="24"/>
          <w:szCs w:val="24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17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 xml:space="preserve">рабочих дней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val="en-US"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  <w:r>
        <w:rPr>
          <w:sz w:val="28"/>
          <w:szCs w:val="28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  <w:lang w:val="en-US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Информационная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система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используемая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, – </w:t>
      </w:r>
      <w:r>
        <w:rPr>
          <w:sz w:val="28"/>
          <w:szCs w:val="28"/>
          <w:lang w:val="en-US"/>
        </w:rPr>
        <w:t xml:space="preserve">единая система межведомственного электронного взаимодействия</w:t>
      </w:r>
      <w:r>
        <w:rPr>
          <w:rStyle w:val="862"/>
          <w:sz w:val="28"/>
          <w:szCs w:val="28"/>
          <w:lang w:eastAsia="ru-RU"/>
        </w:rPr>
        <w:footnoteReference w:id="4"/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  <w:r>
        <w:rPr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предоставлением имущества, составляющего казну Новосибирской области, в аренду без проведения торгов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2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через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3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физические лица, в том числе индивидуальные предприниматели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4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физические лица, в том числе индивидуальные предприниматели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через представителя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5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иностранные 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лично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6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иностранные юридические лица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обращаются через представителя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допущенных опечаток и (или) ошибок в выданном результате предоставления 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7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физическое лицо, в том числе индивидуальный предприниматель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8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уполномоченный представитель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tabs>
          <w:tab w:val="left" w:pos="1276" w:leader="none"/>
          <w:tab w:val="left" w:pos="1985" w:leader="none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  <w:lang w:val="en-US"/>
        </w:rPr>
        <w:t xml:space="preserve">9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юридическое лицо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почтового отправления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Органе власти</w:t>
      </w:r>
      <w:r>
        <w:rPr>
          <w:sz w:val="28"/>
          <w:szCs w:val="28"/>
          <w:lang w:val="en-US" w:eastAsia="ru-RU"/>
        </w:rPr>
        <w:t xml:space="preserve">;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val="en-US"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юридических лиц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личность заявителя не подтверждена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постановку на учет в налоговом органе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постановке на учет (снятии) с учета физического лица в качестве налогоплательщика налога на профессиональный доход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в ЕРН сведений о постановке физических лиц на учет в налоговых органах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заявителя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физического лица в качестве индивидуального предпринимателя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индивидуальных предпринимателей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постановку на учет в налоговом органе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справка о постановке на учет (снятии) с учета физического лица в качестве налогоплательщика налога на профессиональный доход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документ, удостоверяющий личность заявителя, не представлен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Выписки из ЕГРИП по запросам органов государственной власти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Прием в ЕРН сведений о постановке физических лиц на учет в налоговых органах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представление заявителем недостоверных сведений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17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подписанный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Документом</w:t>
      </w:r>
      <w:r>
        <w:rPr>
          <w:sz w:val="28"/>
          <w:szCs w:val="28"/>
        </w:rPr>
        <w:t xml:space="preserve">, содержащим решение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Уведомление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право заявителя на заключение договора аренды областного имущества без торгов по основанию, указанному в заявлении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государственной регистрации иностранного юридического лица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заверенный перевод на русский язык документов о государственной регистрации юридического лица в соответствии с законодательством иностранного государства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иностранного гражданина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создание (изменение статуса) юридического лица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устав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иные учредительные документы юридического лица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уполномоченного лица и печатью организации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лица действовать от имени юридического лица без доверенности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иной документ, подтверждающий полномочия лица на осуществление действий от имени заявителя без доверенности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скан-образ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подписью руководителя заявителя и печатью заявителя (при наличии)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содержащие основные характеристики объекта недвижимости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электронный документ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установление личности не требуется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 </w:t>
      </w:r>
      <w:r>
        <w:rPr>
          <w:sz w:val="28"/>
          <w:szCs w:val="28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, МФЦ отказывают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представлен документ, подтверждающий полномочия представителя заявителя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личный кабинет заявителя на официальном сайте Органа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получения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необходимо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направление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межведомственного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информационного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запрос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«</w:t>
      </w:r>
      <w:r>
        <w:rPr>
          <w:sz w:val="28"/>
          <w:szCs w:val="28"/>
          <w:lang w:val="en-US"/>
        </w:rPr>
        <w:t xml:space="preserve">Прием обращений в ФГИС ЕГРН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lang w:eastAsia="ru-RU"/>
        </w:rPr>
        <w:t xml:space="preserve">. Указанный </w:t>
      </w:r>
      <w:r>
        <w:rPr>
          <w:sz w:val="28"/>
          <w:szCs w:val="28"/>
        </w:rPr>
        <w:t xml:space="preserve">информационный запрос 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ППК «Роскадастр»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val="en-US" w:eastAsia="ru-RU"/>
        </w:rPr>
        <w:t xml:space="preserve">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 представлены либо представлены не в полном объеме запрашиваемые документы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содержание заявления не позволяет установить испрашиваемое в аренду имущество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запрашивается в целях использования его для организации и проведения азартных игр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предоставлении его государственным органам, органам местного самоуправления, государственным и муниципальным учреждениям, приватизации или иных целей, не связанных с арендой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 рассмотрении находится одновременно несколько заявлений о предоставлении в аренду указанного в заявлении областного имущества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указанное в заявлении областное имущество уже предоставлено иным юридическим или физическим лицам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областное имущест</w:t>
      </w:r>
      <w:r>
        <w:rPr>
          <w:sz w:val="28"/>
          <w:szCs w:val="28"/>
          <w:lang w:val="en-US"/>
        </w:rPr>
        <w:t xml:space="preserve">во включено в 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отсутствие правовых оснований для предоставления заявителю областного имущества в аренду без проведения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решения о ликвидации заявителя - юридического лица, наличие решения арбитражного суда о признании заявителя - юридического</w:t>
      </w:r>
      <w:r>
        <w:rPr>
          <w:sz w:val="28"/>
          <w:szCs w:val="28"/>
          <w:lang w:val="en-US"/>
        </w:rPr>
        <w:t xml:space="preserve"> лица, индивидуального предпринимателя, физического лица банкротом и об открытии конкурсного производства,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в отношении указанного в заявлении областного имущества принято решение о проведении торгов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наличие непогашенной задолженности</w:t>
      </w:r>
      <w:r>
        <w:rPr>
          <w:sz w:val="28"/>
          <w:szCs w:val="28"/>
          <w:lang w:val="en-US"/>
        </w:rPr>
        <w:t xml:space="preserve"> по арендной плате, а также нарушение, неисполнение или недобросовестное исполнение иных условий по предыдущему договору аренды областного имущества, если такое нарушение (неисполнение) указано в предыдущем договоре в качестве основания для его расторжения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несоответствие цели (целей) использования имущества, заявляемой потенциальным арендатором, функциональному назначению данного имущества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запрашиваемое заявителем в аренду имущество не относится к объектам имущества, находящимся в государственной собственности Новосибирской области и предназначенным для сдачи в аренду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договор аренды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МФЦ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 заявителя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копия и оригинал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личность заявителя не подтверждена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не представлен документ, подтверждающий полномочия представителя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tabs>
          <w:tab w:val="num" w:pos="1276" w:leader="none"/>
        </w:tabs>
        <w:ind w:left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pStyle w:val="852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keepNext/>
        <w:tabs>
          <w:tab w:val="num" w:pos="1276" w:leader="none"/>
        </w:tabs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9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  <w:lang w:val="en-US"/>
        </w:rPr>
        <w:t xml:space="preserve">: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 xml:space="preserve">документ на бумажном носителе или в форме электронного документа, подписанного усиленной квалифицированной электронной подписью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tabs>
          <w:tab w:val="left" w:pos="1021" w:leader="none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</w:t>
      </w:r>
      <w:r>
        <w:rPr>
          <w:sz w:val="28"/>
          <w:szCs w:val="28"/>
          <w:lang w:eastAsia="ru-RU"/>
        </w:rPr>
        <w:t xml:space="preserve">формой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предусмотренной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 xml:space="preserve">документы, удостоверяющие личность представителя юридического лица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  <w:lang w:val="en-US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left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lang w:eastAsia="ru-RU"/>
        </w:rPr>
        <w:t xml:space="preserve"> заявителя</w:t>
      </w:r>
      <w:r>
        <w:rPr>
          <w:sz w:val="28"/>
          <w:szCs w:val="28"/>
          <w:lang w:eastAsia="ru-RU"/>
        </w:rPr>
        <w:t xml:space="preserve"> при взаимодействии с заявителями </w:t>
      </w:r>
      <w:r>
        <w:rPr>
          <w:sz w:val="28"/>
          <w:szCs w:val="28"/>
          <w:lang w:eastAsia="ru-RU"/>
        </w:rPr>
        <w:t xml:space="preserve">является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</w:t>
      </w:r>
      <w:r>
        <w:rPr>
          <w:sz w:val="28"/>
          <w:szCs w:val="28"/>
        </w:rPr>
        <w:t xml:space="preserve">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основания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личность заявителя не подтверждена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нахождения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рабочий день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Орган власти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следующего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основания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факт допущения ошибки и (или) опечатки не подтвержден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получения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 предоставлении Услуги</w:t>
      </w:r>
      <w:r>
        <w:rPr>
          <w:sz w:val="28"/>
          <w:szCs w:val="28"/>
          <w:lang w:val="en-US"/>
        </w:rPr>
        <w:t xml:space="preserve">;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1"/>
        </w:numPr>
        <w:tabs>
          <w:tab w:val="left" w:pos="1021" w:leader="none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посредством почтового отправления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в Органе власти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 xml:space="preserve">посредством электронной почты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 w:eastAsia="ru-RU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 дня принятия решения</w:t>
      </w:r>
      <w:r>
        <w:rPr>
          <w:sz w:val="28"/>
          <w:szCs w:val="28"/>
          <w:lang w:eastAsia="ru-RU"/>
        </w:rPr>
        <w:t xml:space="preserve">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lang w:eastAsia="ru-RU"/>
        </w:rPr>
        <w:t xml:space="preserve">ежегодно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val="en-US"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val="en-US" w:eastAsia="ru-RU"/>
        </w:rPr>
        <w:t xml:space="preserve"> –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lang w:eastAsia="ru-RU"/>
        </w:rPr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официальном сайте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МФЦ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:lang w:eastAsia="ru-RU"/>
        </w:rPr>
      </w:r>
    </w:p>
    <w:p>
      <w:pPr>
        <w:numPr>
          <w:numId w:val="33"/>
          <w:ilvl w:val="0"/>
        </w:numPr>
        <w:tabs>
          <w:tab w:val="num" w:pos="1276" w:leader="none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личный кабинет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МФЦ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 w:leader="none"/>
          <w:tab w:val="num" w:pos="1560" w:leader="none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путем направления почтового отправления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pStyle w:val="863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pStyle w:val="863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sz w:val="28"/>
          <w:szCs w:val="28"/>
          <w:lang w:val="en-US"/>
        </w:rPr>
      </w:r>
    </w:p>
    <w:p>
      <w:pPr>
        <w:jc w:val="both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  <w:r>
        <w:rPr>
          <w:b/>
          <w:bCs/>
          <w:sz w:val="28"/>
          <w:szCs w:val="28"/>
          <w:lang w:eastAsia="ru-RU"/>
        </w:rPr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lang w:eastAsia="ru-RU"/>
        </w:rPr>
      </w:r>
    </w:p>
    <w:tbl>
      <w:tblPr>
        <w:tblStyle w:val="85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426"/>
        </w:trPr>
        <w:tblPrEx/>
        <w:tc>
          <w:tcPr>
            <w:tcW w:w="10065" w:type="dxa"/>
            <w:gridSpan w:val="2"/>
            <w:noWrap w:val="false"/>
            <w:textDirection w:val="lrTb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Предоставление имущества, составляющего казну Новосибирской области, в аренду без проведения торгов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Физические лица, в том числе индивидуальные предприниматели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Физические лица, в том числе индивидуальные предприниматели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Иностранные 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лично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Иностранные юридические лица</w:t>
            </w:r>
            <w:r>
              <w:rPr>
                <w:szCs w:val="20"/>
              </w:rPr>
              <w:t xml:space="preserve">, </w:t>
            </w:r>
            <w:r>
              <w:rPr>
                <w:szCs w:val="20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26"/>
        </w:trPr>
        <w:tblPrEx/>
        <w:tc>
          <w:tcPr>
            <w:tcW w:w="10065" w:type="dxa"/>
            <w:gridSpan w:val="2"/>
            <w:noWrap w:val="false"/>
            <w:textDirection w:val="lrTb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i/>
                <w:iCs/>
                <w:szCs w:val="20"/>
                <w:lang w:eastAsia="ru-RU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435"/>
        </w:trPr>
        <w:tblPrEx/>
        <w:tc>
          <w:tcPr>
            <w:tcW w:w="1134" w:type="dxa"/>
            <w:noWrap w:val="false"/>
            <w:textDirection w:val="lrTb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8931" w:type="dxa"/>
            <w:noWrap w:val="false"/>
            <w:textDirection w:val="lrTb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  <w:r>
        <w:rPr>
          <w:sz w:val="28"/>
          <w:szCs w:val="28"/>
          <w:lang w:eastAsia="ru-RU"/>
        </w:rPr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lang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lang w:eastAsia="ru-RU"/>
              </w:rPr>
            </w:r>
          </w:p>
        </w:tc>
      </w:tr>
      <w:tr>
        <w:trPr>
          <w:trHeight w:val="339"/>
        </w:trPr>
        <w:tblPrEx/>
        <w:tc>
          <w:tcPr>
            <w:tcW w:w="10065" w:type="dxa"/>
            <w:gridSpan w:val="3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Предоставление имущества, составляющего казну Новосибирской области, в аренду без проведения торгов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заявителей</w:t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Юридические лица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Физические лица, в том числе индивидуальные предприниматели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Иностранные юридические лица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Заявители обращаются лично или через представителя?</w:t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лично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Обращаются через представителя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339"/>
        </w:trPr>
        <w:tblPrEx/>
        <w:tc>
          <w:tcPr>
            <w:tcW w:w="10065" w:type="dxa"/>
            <w:gridSpan w:val="3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  <w:lang w:val="en-US"/>
              </w:rPr>
              <w:t xml:space="preserve"> </w:t>
            </w:r>
            <w:r>
              <w:rPr>
                <w:i/>
                <w:iCs/>
                <w:szCs w:val="20"/>
                <w:lang w:val="en-US" w:eastAsia="ru-RU"/>
              </w:rPr>
              <w:t xml:space="preserve">«</w:t>
            </w:r>
            <w:r>
              <w:rPr>
                <w:i/>
                <w:szCs w:val="20"/>
                <w:lang w:val="en-US"/>
              </w:rPr>
              <w:t xml:space="preserve">Исправление допущенных опечаток и (или) ошибок в выданном результате предоставления Услуги</w:t>
            </w:r>
            <w:r>
              <w:rPr>
                <w:i/>
                <w:szCs w:val="20"/>
                <w:lang w:val="en-US"/>
              </w:rPr>
              <w:t xml:space="preserve">»</w:t>
            </w:r>
            <w:r>
              <w:rPr>
                <w:i/>
                <w:szCs w:val="20"/>
              </w:rPr>
            </w:r>
            <w:r>
              <w:rPr>
                <w:szCs w:val="20"/>
              </w:rPr>
            </w:r>
          </w:p>
        </w:tc>
      </w:tr>
      <w:tr>
        <w:trPr>
          <w:trHeight w:val="841"/>
        </w:trPr>
        <w:tblPrEx/>
        <w:tc>
          <w:tcPr>
            <w:tcW w:w="1134" w:type="dxa"/>
            <w:shd w:val="clear" w:color="auto" w:fill="auto"/>
            <w:noWrap w:val="false"/>
            <w:textDirection w:val="lrTb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 w:leader="none"/>
              </w:tabs>
              <w:ind w:right="-53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W w:w="2977" w:type="dxa"/>
            <w:shd w:val="clear" w:color="auto" w:fill="auto"/>
            <w:noWrap w:val="false"/>
            <w:textDirection w:val="lrTb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lang w:val="en-US" w:eastAsia="ru-RU"/>
              </w:rPr>
            </w:r>
          </w:p>
        </w:tc>
        <w:tc>
          <w:tcPr>
            <w:tcW w:w="5954" w:type="dxa"/>
            <w:shd w:val="clear" w:color="auto" w:fill="auto"/>
            <w:noWrap w:val="false"/>
            <w:textDirection w:val="lrTb"/>
          </w:tcPr>
          <w:p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</w:r>
            <w:r>
              <w:rPr>
                <w:szCs w:val="20"/>
                <w:lang w:val="en-US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1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Физическое лицо, в том числе индивидуальный предприниматель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2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Уполномоченный представитель</w:t>
            </w:r>
            <w:r>
              <w:rPr>
                <w:szCs w:val="20"/>
              </w:rPr>
              <w:t xml:space="preserve">.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  <w:p>
            <w:pPr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3</w:t>
            </w:r>
            <w:r>
              <w:rPr>
                <w:szCs w:val="20"/>
                <w:lang w:val="en-US"/>
              </w:rPr>
              <w:t xml:space="preserve">. </w:t>
            </w:r>
            <w:r>
              <w:rPr>
                <w:szCs w:val="20"/>
                <w:lang w:val="en-US"/>
              </w:rPr>
              <w:t xml:space="preserve">Юридическое лицо</w:t>
            </w:r>
            <w:r>
              <w:rPr>
                <w:szCs w:val="20"/>
              </w:rPr>
            </w:r>
            <w:r>
              <w:rPr>
                <w:szCs w:val="20"/>
              </w:rPr>
            </w:r>
          </w:p>
        </w:tc>
      </w:tr>
    </w:tbl>
    <w:p>
      <w:pPr>
        <w:pStyle w:val="849"/>
        <w:keepNext/>
        <w:tabs>
          <w:tab w:val="clear" w:pos="851" w:leader="none"/>
        </w:tabs>
        <w:spacing w:line="240" w:lineRule="auto"/>
        <w:ind w:firstLine="0"/>
        <w:rPr>
          <w:sz w:val="28"/>
          <w:szCs w:val="28"/>
          <w:lang w:val="en-US"/>
        </w:rPr>
      </w:pPr>
      <w:r>
        <w:rPr>
          <w:sz w:val="20"/>
          <w:lang w:val="en-US"/>
        </w:rPr>
      </w:r>
      <w:r>
        <w:rPr>
          <w:sz w:val="28"/>
          <w:szCs w:val="28"/>
          <w:lang w:val="en-US" w:eastAsia="ru-RU"/>
        </w:rPr>
        <w:br w:type="page" w:clear="all"/>
      </w:r>
      <w:r>
        <w:rPr>
          <w:lang w:val="en-US"/>
        </w:rPr>
      </w:r>
      <w:r>
        <w:rPr>
          <w:sz w:val="28"/>
          <w:szCs w:val="28"/>
          <w:lang w:val="en-US"/>
        </w:rPr>
      </w:r>
    </w:p>
    <w:p>
      <w:pPr>
        <w:pStyle w:val="863"/>
        <w:ind w:left="6237"/>
        <w:outlineLvl w:val="0"/>
        <w:rPr>
          <w:sz w:val="28"/>
          <w:szCs w:val="28"/>
          <w:lang w:val="en-US"/>
        </w:rPr>
      </w:pPr>
      <w:r>
        <w:rPr>
          <w:lang w:val="en-US"/>
        </w:rPr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lang w:val="en-US"/>
        </w:rPr>
        <w:t xml:space="preserve"> № 2</w:t>
      </w:r>
      <w:r>
        <w:rPr>
          <w:szCs w:val="20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63"/>
        <w:ind w:left="6237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ДИиЗО НСО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DATEDOUBLEACTIVATED № DOCNUMBER</w:t>
      </w:r>
      <w:r>
        <w:rPr>
          <w:sz w:val="28"/>
          <w:szCs w:val="28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1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с указанием его организационно-правовой формы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2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юридического лица с указанием его организационно-правовой формы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юридического лица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руководителя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должность уполномоченного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3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индивидуальным предпринимателем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постановки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и реквизиты документа, удостоверяющего личность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наименование, 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</w:t>
      </w:r>
      <w:r>
        <w:rPr>
          <w:sz w:val="24"/>
          <w:szCs w:val="24"/>
          <w:lang w:val="en-US"/>
        </w:rPr>
        <w:t xml:space="preserve">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банкротом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открыто конкурсное производство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Перевод на русский язык документов о государственной регистраци</w:t>
      </w:r>
      <w:r>
        <w:rPr>
          <w:sz w:val="24"/>
          <w:szCs w:val="24"/>
          <w:lang w:val="en-US"/>
        </w:rPr>
        <w:t xml:space="preserve">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иностранным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4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физическим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 и отчество (последнее -  при наличии) физического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индивидуальным предпринимателем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индивидуального предпринимателя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индивидуального предпринимателя (ОГРНИП)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 (ИНН)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постановки на учет в налоговом органе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и реквизиты документа, удостоверяющего личность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адрес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почтовый индекс места жительства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наименование, серия и номер документа, удостоверяющего личность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кем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когда выдан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</w:t>
      </w:r>
      <w:r>
        <w:rPr>
          <w:sz w:val="24"/>
          <w:szCs w:val="24"/>
          <w:lang w:val="en-US"/>
        </w:rPr>
        <w:t xml:space="preserve">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банкротом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открыто конкурсное производство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Перевод на русский язык документов о государственной регистраци</w:t>
      </w:r>
      <w:r>
        <w:rPr>
          <w:sz w:val="24"/>
          <w:szCs w:val="24"/>
          <w:lang w:val="en-US"/>
        </w:rPr>
        <w:t xml:space="preserve">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полученных не ранее чем за шесть месяцев до даты обращения с заявлением о предоставлении имущества в аренду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являюсь иностранным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5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иностранным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иностранного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Cs w:val="24"/>
          <w:lang w:val="en-US"/>
        </w:rPr>
      </w:r>
      <w:r>
        <w:rPr>
          <w:sz w:val="20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варианту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6</w:t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запрашиваемом имуществе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объекта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цель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срок использования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перечень прилагаемых к заявлению документов и (или) информации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кадастровый номер объекта недвижимости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общая площадь (кв.м)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характеристики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Способы уведомления о ходе предоставления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электронной почте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телефону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МФЦ (в случае подачи заявления через МФЦ)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  <w:sdt>
        <w:sdtPr>
          <w15:appearance w15:val="boundingBox"/>
          <w:id w:val="866644144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hint="eastAsia" w:ascii="MS Gothic" w:hAnsi="MS Gothic" w:eastAsia="MS Gothic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20005946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__.</w:t>
      </w:r>
      <w:r>
        <w:rPr>
          <w:sz w:val="24"/>
          <w:szCs w:val="24"/>
          <w:lang w:val="en-US"/>
        </w:rPr>
        <w:t xml:space="preserve">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Указать основание предоставления имущества в аренду без проведения торгов в соответствии с частью 1, частью 9 статьи 17.1 Федерального закона от 26.07.2006 № 135-ФЗ «О защите конкуренции»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основании международных договоров Российской Фе</w:t>
      </w:r>
      <w:r>
        <w:rPr>
          <w:sz w:val="24"/>
          <w:szCs w:val="24"/>
          <w:lang w:val="en-US"/>
        </w:rPr>
        <w:t xml:space="preserve">дерации (в том числе межправительственных соглашений), федеральных законов,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государственным и муниципальным учреждениям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некоммерческим организациям, созданным в форме ассоциаций и союзов, 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</w:t>
      </w:r>
      <w:r>
        <w:rPr>
          <w:sz w:val="24"/>
          <w:szCs w:val="24"/>
          <w:lang w:val="en-US"/>
        </w:rPr>
        <w:t xml:space="preserve">амодеятельности, профессиональным союзам, их объединениям (ассоциациям), первичным профсоюзным организациям), объединений работодателей, товариществ собственников жилья, социально ориентированным некоммерческим организациям при условии осуществления ими де</w:t>
      </w:r>
      <w:r>
        <w:rPr>
          <w:sz w:val="24"/>
          <w:szCs w:val="24"/>
          <w:lang w:val="en-US"/>
        </w:rPr>
        <w:t xml:space="preserve">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N 7-ФЗ "О некоммерческих организациях"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адвокатским, нотариальным, торгово-промышленным палатам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медицинским организациям, организациям, осуществляющим образовательную деятельность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для размещения сетей связи, объектов почтовой связи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лицу, обладающему правами владения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</w:t>
      </w:r>
      <w:r>
        <w:rPr>
          <w:sz w:val="24"/>
          <w:szCs w:val="24"/>
          <w:lang w:val="en-US"/>
        </w:rPr>
        <w:t xml:space="preserve">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</w:t>
      </w:r>
      <w:r>
        <w:rPr>
          <w:sz w:val="24"/>
          <w:szCs w:val="24"/>
          <w:lang w:val="en-US"/>
        </w:rPr>
        <w:t xml:space="preserve">тветствии с Федеральным законом от 27 июля 2010 года N 190-ФЗ "О теплоснабжении", лицу, которому присвоен статус системообразующей территориальной сетевой организации в соответствии с Федеральным законом от 26 марта 2003 года N 35-ФЗ "Об электроэнергетике"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порядке, установленном главой 5 Федерального закона от 26 июля 2006 года № 135-ФЗ "О защите конкуренции"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</w:t>
      </w:r>
      <w:r>
        <w:rPr>
          <w:sz w:val="24"/>
          <w:szCs w:val="24"/>
          <w:lang w:val="en-US"/>
        </w:rPr>
        <w:t xml:space="preserve">цу, с которым заключен государственный или муниципальный контракт по результатам конкурса или аукциона, проведенных в соответствии с Федеральным законом от 5 апреля 2013 года N 44-ФЗ "О контрактной системе в сфере закупок товаров, работ, услуг для обеспече</w:t>
      </w:r>
      <w:r>
        <w:rPr>
          <w:sz w:val="24"/>
          <w:szCs w:val="24"/>
          <w:lang w:val="en-US"/>
        </w:rPr>
        <w:t xml:space="preserve">ния государственных и муниципальных нужд", если предоставление указанных прав было предусмотрено конкурсной документацией, документацией об аукционе для целей исполнения этого государственного или муниципального контракта, либо лицу, с которым государствен</w:t>
      </w:r>
      <w:r>
        <w:rPr>
          <w:sz w:val="24"/>
          <w:szCs w:val="24"/>
          <w:lang w:val="en-US"/>
        </w:rPr>
        <w:t xml:space="preserve">ным или муниципальным автономным учреждением заключен договор по результатам конкурса или аукциона, проведенных в соответствии с Федеральным законом от 18 июля 2011 года N 223-ФЗ "О закупках товаров, работ, услуг отдельными видами юридических лиц", если пр</w:t>
      </w:r>
      <w:r>
        <w:rPr>
          <w:sz w:val="24"/>
          <w:szCs w:val="24"/>
          <w:lang w:val="en-US"/>
        </w:rPr>
        <w:t xml:space="preserve">едоставление указанных прав было предусмотрено документацией о закупке для целей исполнения этого договора.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срок не более чем тридцать календарных дней в течение шести по</w:t>
      </w:r>
      <w:r>
        <w:rPr>
          <w:sz w:val="24"/>
          <w:szCs w:val="24"/>
          <w:lang w:val="en-US"/>
        </w:rPr>
        <w:t xml:space="preserve">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взамен недвижимого имущества, права в отношении которого п</w:t>
      </w:r>
      <w:r>
        <w:rPr>
          <w:sz w:val="24"/>
          <w:szCs w:val="24"/>
          <w:lang w:val="en-US"/>
        </w:rPr>
        <w:t xml:space="preserve">рекращаются в связи со сносом или с реконструкцией здания, строения, сооружения, которыми или частью которых является такое недвижимое имущество, либо в связи с предоставлением прав на такое недвижимое имущество государственным или муниципальным организаци</w:t>
      </w:r>
      <w:r>
        <w:rPr>
          <w:sz w:val="24"/>
          <w:szCs w:val="24"/>
          <w:lang w:val="en-US"/>
        </w:rPr>
        <w:t xml:space="preserve">ям, осуществляющим образовательную деятельность, медицинским организациям. При этом недвижимое имущество, права на которое предоставляются, должно быть равнозначным ранее имевшемуся недвижимому имуществу по месту расположения, площади и определяемой в соот</w:t>
      </w:r>
      <w:r>
        <w:rPr>
          <w:sz w:val="24"/>
          <w:szCs w:val="24"/>
          <w:lang w:val="en-US"/>
        </w:rPr>
        <w:t xml:space="preserve">ветствии с законодательством Российской Федерации, регулирующим оценочную деятельность, стоимости. Условия, при которых недвижимое имущество признается равнозначным ранее имевшемуся недвижимому имуществу, устанавливаются федеральным антимонопольным органом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правопреемнику приватизированного унитарного предприятия в случае, если такое имущество не включено в состав подлежащих приватизации активов приватизированного унитарного предприятия, но техн</w:t>
      </w:r>
      <w:r>
        <w:rPr>
          <w:sz w:val="24"/>
          <w:szCs w:val="24"/>
          <w:lang w:val="en-US"/>
        </w:rPr>
        <w:t xml:space="preserve">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в государственной или муниципальной собственности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являющееся частью или частями помещения, здания, строения или сооружения, е</w:t>
      </w:r>
      <w:r>
        <w:rPr>
          <w:sz w:val="24"/>
          <w:szCs w:val="24"/>
          <w:lang w:val="en-US"/>
        </w:rPr>
        <w:t xml:space="preserve">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права на которые принадлежат лицу, передающему такое имущество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публично-правовой компании "Единый заказчик в сфере строительства" в случае, если такое имущество передается в целях обеспечения выполнения инженерны</w:t>
      </w:r>
      <w:r>
        <w:rPr>
          <w:sz w:val="24"/>
          <w:szCs w:val="24"/>
          <w:lang w:val="en-US"/>
        </w:rPr>
        <w:t xml:space="preserve">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 истечении срока договора аренды государственного  или муниципального имущества, заключенн</w:t>
      </w:r>
      <w:r>
        <w:rPr>
          <w:sz w:val="24"/>
          <w:szCs w:val="24"/>
          <w:lang w:val="en-US"/>
        </w:rPr>
        <w:t xml:space="preserve">ого по результатам проведения торгов или без их проведения в соответствии с законодательством Российской Федерации, за исключением случаев, указанных в части 2 статьи 17.1 Федерального закона от 26 июля 2006 года № 135-ФЗ "О защите конкуренции", заключение</w:t>
      </w:r>
      <w:r>
        <w:rPr>
          <w:sz w:val="24"/>
          <w:szCs w:val="24"/>
          <w:lang w:val="en-US"/>
        </w:rPr>
        <w:t xml:space="preserve"> такого договора на новый срок с арендатором, надлежащим образом исполнившим свои обязанности, осуществляется без проведения конкурса, аукциона, если иное не установлено договором и срок действия договора не ограничен законодательством Российской Федерации</w:t>
      </w:r>
      <w:r>
        <w:rPr>
          <w:sz w:val="24"/>
          <w:szCs w:val="24"/>
          <w:lang w:val="en-US"/>
        </w:rPr>
        <w:t xml:space="preserve"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заявителе, являющемся иностранным юридическим лицом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иностранного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юридического лица в пределах его места нахождения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наименование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код страны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Лицензия заявителя на осуществле</w:t>
      </w:r>
      <w:r>
        <w:rPr>
          <w:sz w:val="24"/>
          <w:szCs w:val="24"/>
          <w:lang w:val="en-US"/>
        </w:rPr>
        <w:t xml:space="preserve">ние определенного вида хозяйственной деятельности (при передаче областного имущества на основании пункта 6 части 1 статьи 17.1 Закона "О защите конкуренции" при условии осуществления в качестве основного (уставного) вида деятельности на основании лицензии)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и номер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 деятельности, на который выдана лицензия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кому выдана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Заявление об отсутствии решения о ликвидации заявителя, об отсутстви</w:t>
      </w:r>
      <w:r>
        <w:rPr>
          <w:sz w:val="24"/>
          <w:szCs w:val="24"/>
          <w:lang w:val="en-US"/>
        </w:rPr>
        <w:t xml:space="preserve">и решения арбитражного суда,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ликвидации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признании банкротом и открытии конкурсного производства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есть решение о приостановлении деятельности в порядке, предусмотренном КоАП РФ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Копия решения об одобрении или о совершении крупной сделки (прилагается к заявлению в случае</w:t>
      </w:r>
      <w:r>
        <w:rPr>
          <w:sz w:val="24"/>
          <w:szCs w:val="24"/>
          <w:lang w:val="en-US"/>
        </w:rPr>
        <w:t xml:space="preserve">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требование установлено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сделка является крупной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1873571208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1211146250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об уполномоченном представителе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документ, удостоверяющий полномочия представителя (дата и № доверенности)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фамилия, имя, отчество (при наличии) уполномоченного представителя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 w:type="page" w:clear="all"/>
      </w:r>
      <w:r>
        <w:rPr>
          <w:sz w:val="24"/>
          <w:szCs w:val="24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firstLine="0"/>
        <w:jc w:val="left"/>
        <w:rPr>
          <w:sz w:val="20"/>
          <w:lang w:val="en-US"/>
        </w:rPr>
      </w:pPr>
      <w:r>
        <w:rPr>
          <w:sz w:val="28"/>
          <w:szCs w:val="28"/>
          <w:lang w:val="en-US"/>
        </w:rPr>
      </w:r>
      <w:r>
        <w:rPr>
          <w:sz w:val="20"/>
          <w:lang w:val="en-US"/>
        </w:rPr>
        <w:t xml:space="preserve"> </w:t>
      </w:r>
      <w:r>
        <w:rPr>
          <w:sz w:val="20"/>
          <w:lang w:val="en-US"/>
        </w:rPr>
      </w:r>
    </w:p>
    <w:p>
      <w:pPr>
        <w:pStyle w:val="849"/>
        <w:tabs>
          <w:tab w:val="clear" w:pos="851" w:leader="none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>
        <w:rPr>
          <w:sz w:val="20"/>
          <w:u w:val="single"/>
          <w:lang w:val="en-US"/>
        </w:rPr>
      </w:r>
      <w:r>
        <w:rPr>
          <w:sz w:val="20"/>
          <w:u w:val="single"/>
        </w:rPr>
        <w:t xml:space="preserve">ФОРМА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к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</w:rPr>
        <w:t xml:space="preserve">вариантам</w:t>
      </w:r>
      <w:r>
        <w:rPr>
          <w:sz w:val="20"/>
          <w:u w:val="single"/>
          <w:lang w:val="en-US"/>
        </w:rPr>
        <w:t xml:space="preserve"> </w:t>
      </w:r>
      <w:r>
        <w:rPr>
          <w:sz w:val="20"/>
          <w:u w:val="single"/>
          <w:lang w:val="en-US"/>
        </w:rPr>
        <w:t xml:space="preserve">7</w:t>
      </w:r>
      <w:r>
        <w:rPr>
          <w:sz w:val="20"/>
          <w:u w:val="single"/>
          <w:lang w:val="en-US"/>
        </w:rPr>
        <w:t xml:space="preserve"> – </w:t>
      </w:r>
      <w:r>
        <w:rPr>
          <w:sz w:val="20"/>
          <w:u w:val="single"/>
          <w:lang w:val="en-US"/>
        </w:rPr>
        <w:t xml:space="preserve">9</w:t>
      </w:r>
      <w:r>
        <w:rPr>
          <w:sz w:val="20"/>
          <w:u w:val="single"/>
          <w:lang w:val="en-US"/>
        </w:rPr>
      </w:r>
      <w:r>
        <w:rPr>
          <w:sz w:val="20"/>
          <w:u w:val="single"/>
          <w:lang w:val="en-US"/>
        </w:rPr>
      </w:r>
    </w:p>
    <w:p>
      <w:pPr>
        <w:rPr>
          <w:szCs w:val="20"/>
          <w:lang w:val="en-US"/>
        </w:rPr>
      </w:pPr>
      <w:r>
        <w:rPr>
          <w:szCs w:val="20"/>
          <w:lang w:val="en-US"/>
        </w:rPr>
      </w:r>
      <w:r>
        <w:rPr>
          <w:sz w:val="24"/>
          <w:szCs w:val="24"/>
          <w:lang w:val="en-US"/>
        </w:rPr>
        <w:t xml:space="preserve"> </w:t>
      </w:r>
      <w:r>
        <w:rPr>
          <w:szCs w:val="20"/>
          <w:lang w:val="en-US"/>
        </w:rPr>
      </w:r>
    </w:p>
    <w:p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</w:rPr>
        <w:t xml:space="preserve">Заявление</w:t>
      </w:r>
      <w:r>
        <w:rPr>
          <w:sz w:val="24"/>
          <w:szCs w:val="24"/>
        </w:rPr>
      </w:r>
    </w:p>
    <w:p>
      <w:pPr>
        <w:spacing w:line="360" w:lineRule="exact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слуги «</w:t>
      </w:r>
      <w:r>
        <w:rPr>
          <w:sz w:val="24"/>
          <w:szCs w:val="24"/>
        </w:rPr>
        <w:t xml:space="preserve">Предоставление в аренду имущества казны Новосибирской области без проведения торгов</w:t>
      </w:r>
      <w:r>
        <w:rPr>
          <w:sz w:val="24"/>
          <w:szCs w:val="24"/>
          <w:lang w:val="en-US"/>
        </w:rPr>
        <w:t xml:space="preserve">»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заявителе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полное наименование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сокращенное наименование заявителя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основной государственный регистрационный номер юридического лица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идентификационный номер налогоплательщика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места нахождения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для корреспонденции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номер телефона (с указанием кода)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иные сведения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ФИО заявителя (отчество 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Сведения о допущенных опечатках и (или) ошибках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описание опечаток и (или) ошибок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правильное написание соответствующих сведений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Способ получения результата Услуги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на адрес электронной почты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 Органе власти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посредством почтового отправления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</w:r>
      <w:sdt>
        <w:sdtPr>
          <w15:appearance w15:val="boundingBox"/>
          <w:id w:val="973489833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</w:t>
      </w:r>
      <w:r>
        <w:rPr>
          <w:sz w:val="24"/>
          <w:szCs w:val="24"/>
          <w:lang w:val="en-US"/>
        </w:rPr>
        <w:t xml:space="preserve">, </w:t>
      </w:r>
      <w:sdt>
        <w:sdtPr>
          <w15:appearance w15:val="boundingBox"/>
          <w:id w:val="534310536"/>
          <w14:checkbox>
            <w14:checked w14:val="0"/>
            <w14:checkedState w14:val="2612" w14:font="MS Gothic"/>
            <w14:uncheckedState w14:val="2610" w14:font="MS Gothic"/>
          </w14:checkbox>
          <w:rPr>
            <w:sz w:val="24"/>
            <w:szCs w:val="24"/>
            <w:lang w:val="en-US"/>
          </w:rPr>
        </w:sdtPr>
        <w:sdtContent>
          <w:r>
            <w:rPr>
              <w:rFonts w:ascii="Segoe UI Symbol" w:hAnsi="Segoe UI Symbol" w:eastAsia="MS Gothic" w:cs="Segoe UI Symbol"/>
              <w:sz w:val="24"/>
              <w:szCs w:val="24"/>
              <w:lang w:val="en-US"/>
            </w:rPr>
            <w:t xml:space="preserve">☐</w:t>
          </w:r>
        </w:sdtContent>
      </w:sdt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нет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keepNext/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Дата подачи заявления и подпись заявителя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датa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__.__________.____ </w:t>
      </w:r>
      <w:r>
        <w:rPr>
          <w:sz w:val="24"/>
          <w:szCs w:val="24"/>
        </w:rPr>
        <w:t xml:space="preserve">г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подпись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расшифровка подписи (инициалы, фамилия)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</w:r>
    </w:p>
    <w:p>
      <w:pPr>
        <w:keepNext/>
        <w:tabs>
          <w:tab w:val="left" w:pos="10065" w:leader="underscore"/>
        </w:tabs>
        <w:spacing w:line="360" w:lineRule="exac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печать (при наличии)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.</w:t>
      </w:r>
      <w:r>
        <w:rPr>
          <w:sz w:val="28"/>
          <w:szCs w:val="28"/>
          <w:lang w:val="en-US"/>
        </w:rPr>
      </w:r>
      <w:r>
        <w:rPr>
          <w:sz w:val="24"/>
          <w:szCs w:val="24"/>
          <w:lang w:val="en-US"/>
        </w:rPr>
      </w:r>
    </w:p>
    <w:sectPr>
      <w:headerReference w:type="default" r:id="rId11"/>
      <w:headerReference w:type="first" r:id="rId12"/>
      <w:footnotePr/>
      <w:endnotePr/>
      <w:type w:val="nextPage"/>
      <w:pgSz w:w="11906" w:h="16838" w:orient="portrait"/>
      <w:pgMar w:top="567" w:right="567" w:bottom="1134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40504090204"/>
  </w:font>
  <w:font w:name="Yu Gothic Light">
    <w:panose1 w:val="00000709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2">
    <w:p>
      <w:pPr>
        <w:pStyle w:val="860"/>
        <w:jc w:val="both"/>
      </w:pPr>
      <w:r>
        <w:rPr>
          <w:rStyle w:val="862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>
      <w:pPr>
        <w:pStyle w:val="860"/>
        <w:jc w:val="both"/>
      </w:pPr>
      <w:r>
        <w:rPr>
          <w:rStyle w:val="862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4">
    <w:p>
      <w:pPr>
        <w:jc w:val="both"/>
        <w:rPr>
          <w:szCs w:val="20"/>
        </w:rPr>
      </w:pPr>
      <w:r>
        <w:rPr>
          <w:rStyle w:val="862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  <w:r>
        <w:rPr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8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85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</w:pPr>
  </w:p>
  <w:p>
    <w:pPr>
      <w:pStyle w:val="85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4510622"/>
      <w:docPartObj>
        <w:docPartGallery w:val="Page Numbers (Top of Page)"/>
        <w:docPartUnique w:val="true"/>
      </w:docPartObj>
      <w:rPr/>
    </w:sdtPr>
    <w:sdtContent>
      <w:p>
        <w:pPr>
          <w:pStyle w:val="8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</w:p>
    </w:sdtContent>
  </w:sdt>
  <w:p>
    <w:pPr>
      <w:pStyle w:val="85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  <w:jc w:val="center"/>
    </w:pPr>
  </w:p>
  <w:p>
    <w:pPr>
      <w:pStyle w:val="85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7" w:leader="none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57" w:leader="none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701" w:leader="none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134" w:leader="none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tabs>
          <w:tab w:val="num" w:pos="1304" w:leader="none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1531" w:leader="none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39"/>
    <w:link w:val="86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39"/>
    <w:link w:val="86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39"/>
    <w:link w:val="87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39"/>
    <w:link w:val="87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39"/>
    <w:link w:val="87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39"/>
    <w:link w:val="87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38"/>
    <w:next w:val="838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38"/>
    <w:next w:val="838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38"/>
    <w:next w:val="838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838"/>
    <w:next w:val="838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839"/>
    <w:link w:val="34"/>
    <w:uiPriority w:val="10"/>
    <w:rPr>
      <w:sz w:val="48"/>
      <w:szCs w:val="48"/>
    </w:rPr>
  </w:style>
  <w:style w:type="paragraph" w:styleId="36">
    <w:name w:val="Subtitle"/>
    <w:basedOn w:val="838"/>
    <w:next w:val="83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39"/>
    <w:link w:val="36"/>
    <w:uiPriority w:val="11"/>
    <w:rPr>
      <w:sz w:val="24"/>
      <w:szCs w:val="24"/>
    </w:rPr>
  </w:style>
  <w:style w:type="paragraph" w:styleId="38">
    <w:name w:val="Quote"/>
    <w:basedOn w:val="838"/>
    <w:next w:val="83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38"/>
    <w:next w:val="83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839"/>
    <w:link w:val="853"/>
    <w:uiPriority w:val="99"/>
  </w:style>
  <w:style w:type="character" w:styleId="45">
    <w:name w:val="Footer Char"/>
    <w:basedOn w:val="839"/>
    <w:link w:val="855"/>
    <w:uiPriority w:val="99"/>
  </w:style>
  <w:style w:type="paragraph" w:styleId="46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55"/>
    <w:uiPriority w:val="99"/>
  </w:style>
  <w:style w:type="table" w:styleId="49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57"/>
    <w:uiPriority w:val="99"/>
    <w:rPr>
      <w:sz w:val="20"/>
    </w:rPr>
  </w:style>
  <w:style w:type="paragraph" w:styleId="181">
    <w:name w:val="toc 1"/>
    <w:basedOn w:val="838"/>
    <w:next w:val="838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838"/>
    <w:next w:val="838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838"/>
    <w:next w:val="838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838"/>
    <w:next w:val="838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838"/>
    <w:next w:val="838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838"/>
    <w:next w:val="838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838"/>
    <w:next w:val="838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838"/>
    <w:next w:val="838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838"/>
    <w:next w:val="838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>
    <w:name w:val="annotation reference"/>
    <w:uiPriority w:val="99"/>
    <w:rPr>
      <w:sz w:val="16"/>
      <w:szCs w:val="16"/>
    </w:rPr>
  </w:style>
  <w:style w:type="paragraph" w:styleId="843">
    <w:name w:val="annotation text"/>
    <w:basedOn w:val="838"/>
    <w:link w:val="844"/>
    <w:uiPriority w:val="99"/>
    <w:unhideWhenUsed/>
    <w:rPr>
      <w:szCs w:val="20"/>
    </w:rPr>
  </w:style>
  <w:style w:type="character" w:styleId="844" w:customStyle="1">
    <w:name w:val="Текст примечания Знак"/>
    <w:basedOn w:val="839"/>
    <w:link w:val="843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845">
    <w:name w:val="Balloon Text"/>
    <w:basedOn w:val="838"/>
    <w:link w:val="846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6" w:customStyle="1">
    <w:name w:val="Текст выноски Знак"/>
    <w:basedOn w:val="839"/>
    <w:link w:val="845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47">
    <w:name w:val="annotation subject"/>
    <w:basedOn w:val="843"/>
    <w:next w:val="843"/>
    <w:link w:val="848"/>
    <w:uiPriority w:val="99"/>
    <w:semiHidden/>
    <w:unhideWhenUsed/>
    <w:rPr>
      <w:b/>
      <w:bCs/>
    </w:rPr>
  </w:style>
  <w:style w:type="character" w:styleId="848" w:customStyle="1">
    <w:name w:val="Тема примечания Знак"/>
    <w:basedOn w:val="844"/>
    <w:link w:val="847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849" w:customStyle="1">
    <w:name w:val="! ТЗ Стиль __ТекстОсн_1и + Times New Roman 12 пт По ширине Первая стр..."/>
    <w:basedOn w:val="838"/>
    <w:qFormat/>
    <w:pPr>
      <w:tabs>
        <w:tab w:val="left" w:pos="851" w:leader="none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styleId="850" w:customStyle="1">
    <w:name w:val="Сетка таблицы3"/>
    <w:basedOn w:val="840"/>
    <w:next w:val="851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1">
    <w:name w:val="Table Grid"/>
    <w:basedOn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2">
    <w:name w:val="List Paragraph"/>
    <w:basedOn w:val="838"/>
    <w:uiPriority w:val="34"/>
    <w:qFormat/>
    <w:pPr>
      <w:ind w:left="720"/>
      <w:contextualSpacing/>
    </w:pPr>
  </w:style>
  <w:style w:type="paragraph" w:styleId="853">
    <w:name w:val="Header"/>
    <w:basedOn w:val="838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839"/>
    <w:link w:val="853"/>
    <w:uiPriority w:val="99"/>
    <w:rPr>
      <w:rFonts w:ascii="Times New Roman" w:hAnsi="Times New Roman" w:eastAsia="Times New Roman" w:cs="Times New Roman"/>
      <w:sz w:val="20"/>
    </w:rPr>
  </w:style>
  <w:style w:type="paragraph" w:styleId="855">
    <w:name w:val="Footer"/>
    <w:basedOn w:val="838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839"/>
    <w:link w:val="855"/>
    <w:uiPriority w:val="99"/>
    <w:rPr>
      <w:rFonts w:ascii="Times New Roman" w:hAnsi="Times New Roman" w:eastAsia="Times New Roman" w:cs="Times New Roman"/>
      <w:sz w:val="20"/>
    </w:rPr>
  </w:style>
  <w:style w:type="paragraph" w:styleId="857">
    <w:name w:val="endnote text"/>
    <w:basedOn w:val="838"/>
    <w:link w:val="858"/>
    <w:uiPriority w:val="99"/>
    <w:semiHidden/>
    <w:unhideWhenUsed/>
    <w:rPr>
      <w:szCs w:val="20"/>
    </w:rPr>
  </w:style>
  <w:style w:type="character" w:styleId="858" w:customStyle="1">
    <w:name w:val="Текст концевой сноски Знак"/>
    <w:basedOn w:val="839"/>
    <w:link w:val="857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859">
    <w:name w:val="endnote reference"/>
    <w:basedOn w:val="839"/>
    <w:uiPriority w:val="99"/>
    <w:semiHidden/>
    <w:unhideWhenUsed/>
    <w:rPr>
      <w:vertAlign w:val="superscript"/>
    </w:rPr>
  </w:style>
  <w:style w:type="paragraph" w:styleId="860">
    <w:name w:val="footnote text"/>
    <w:basedOn w:val="838"/>
    <w:link w:val="861"/>
    <w:uiPriority w:val="99"/>
    <w:unhideWhenUsed/>
    <w:rPr>
      <w:szCs w:val="20"/>
    </w:rPr>
  </w:style>
  <w:style w:type="character" w:styleId="861" w:customStyle="1">
    <w:name w:val="Текст сноски Знак"/>
    <w:basedOn w:val="839"/>
    <w:link w:val="860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862">
    <w:name w:val="footnote reference"/>
    <w:basedOn w:val="839"/>
    <w:uiPriority w:val="99"/>
    <w:semiHidden/>
    <w:unhideWhenUsed/>
    <w:rPr>
      <w:vertAlign w:val="superscript"/>
    </w:rPr>
  </w:style>
  <w:style w:type="paragraph" w:styleId="86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864">
    <w:name w:val="Body Text"/>
    <w:basedOn w:val="838"/>
    <w:link w:val="865"/>
    <w:uiPriority w:val="1"/>
    <w:qFormat/>
    <w:pPr>
      <w:widowControl w:val="off"/>
    </w:pPr>
    <w:rPr>
      <w:sz w:val="24"/>
      <w:szCs w:val="24"/>
    </w:rPr>
  </w:style>
  <w:style w:type="character" w:styleId="865" w:customStyle="1">
    <w:name w:val="Основной текст Знак"/>
    <w:basedOn w:val="839"/>
    <w:link w:val="864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866">
    <w:name w:val="HTML Code"/>
    <w:basedOn w:val="839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9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870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71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872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873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jpg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rtlabs.ru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4</cp:revision>
  <dcterms:created xsi:type="dcterms:W3CDTF">2025-01-21T12:28:00Z</dcterms:created>
  <dcterms:modified xsi:type="dcterms:W3CDTF">2025-04-24T09:16:40Z</dcterms:modified>
</cp:coreProperties>
</file>