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6237"/>
        <w:jc w:val="center"/>
        <w:keepLines w:val="0"/>
        <w:spacing w:before="240"/>
        <w:rPr>
          <w:sz w:val="28"/>
          <w:szCs w:val="28"/>
          <w:highlight w:val="none"/>
          <w:lang w:val="en-US"/>
        </w:rPr>
        <w:suppressLineNumbers w:val="0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приказом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департамента имущества и земельных отношений Новосибирской </w:t>
      </w:r>
      <w:r>
        <w:rPr>
          <w:sz w:val="28"/>
          <w:szCs w:val="28"/>
          <w:lang w:val="en-US"/>
        </w:rPr>
        <w:t xml:space="preserve">области                    о</w:t>
      </w:r>
      <w:r>
        <w:rPr>
          <w:sz w:val="28"/>
          <w:szCs w:val="28"/>
          <w:highlight w:val="none"/>
          <w:lang w:val="en-US"/>
        </w:rPr>
        <w:t xml:space="preserve">т _________ № _______ </w:t>
      </w: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  <w:lang w:val="en-US"/>
        </w:rPr>
      </w:r>
    </w:p>
    <w:p>
      <w:pPr>
        <w:ind w:left="6237"/>
        <w:jc w:val="center"/>
        <w:spacing w:before="240"/>
        <w:rPr>
          <w:sz w:val="28"/>
          <w:szCs w:val="28"/>
          <w:highlight w:val="none"/>
          <w:lang w:val="en-US"/>
        </w:rPr>
      </w:pP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  <w:lang w:val="en-US"/>
        </w:rPr>
      </w:r>
    </w:p>
    <w:p>
      <w:pPr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 xml:space="preserve"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регламент</w:t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jc w:val="center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  <w:t xml:space="preserve">департамента имущества и земельных отношений Новосибирской области</w:t>
      </w:r>
      <w:r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>
        <w:rPr>
          <w:b/>
          <w:bCs/>
          <w:sz w:val="28"/>
          <w:szCs w:val="28"/>
          <w:lang w:eastAsia="ru-RU"/>
        </w:rPr>
        <w:t xml:space="preserve">государственной</w:t>
      </w:r>
      <w:r>
        <w:rPr>
          <w:b/>
          <w:bCs/>
          <w:sz w:val="28"/>
          <w:szCs w:val="28"/>
          <w:lang w:eastAsia="ru-RU"/>
        </w:rPr>
        <w:t xml:space="preserve"> услуги </w:t>
      </w:r>
      <w:r>
        <w:rPr>
          <w:b/>
          <w:bCs/>
          <w:sz w:val="28"/>
          <w:szCs w:val="28"/>
          <w:lang w:eastAsia="ru-RU"/>
        </w:rPr>
        <w:t xml:space="preserve">«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редоставление земельных участков, находящихся в государственной собственности Новосибирской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b/>
          <w:bCs/>
          <w:sz w:val="28"/>
          <w:szCs w:val="28"/>
          <w:lang w:eastAsia="ru-RU"/>
        </w:rPr>
        <w:t xml:space="preserve">»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keepLines/>
        <w:keepNext/>
        <w:spacing w:before="240" w:after="160"/>
        <w:rPr>
          <w:rFonts w:eastAsia="Yu Gothic Light"/>
          <w:b/>
          <w:bCs/>
          <w:sz w:val="28"/>
          <w:szCs w:val="28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I</w:t>
      </w:r>
      <w:r>
        <w:rPr>
          <w:rFonts w:eastAsia="Yu Gothic Light"/>
          <w:b/>
          <w:bCs/>
          <w:sz w:val="28"/>
          <w:szCs w:val="28"/>
        </w:rPr>
        <w:t xml:space="preserve">. Общие положения</w:t>
      </w:r>
      <w:r>
        <w:rPr>
          <w:rFonts w:eastAsia="Yu Gothic Light"/>
          <w:b/>
          <w:bCs/>
          <w:sz w:val="28"/>
          <w:szCs w:val="28"/>
        </w:rPr>
      </w:r>
      <w:r>
        <w:rPr>
          <w:rFonts w:eastAsia="Yu Gothic Light"/>
          <w:b/>
          <w:bCs/>
          <w:sz w:val="28"/>
          <w:szCs w:val="28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дминистративный регламент устан</w:t>
      </w:r>
      <w:r>
        <w:rPr>
          <w:sz w:val="28"/>
          <w:szCs w:val="28"/>
          <w:lang w:eastAsia="ru-RU"/>
        </w:rPr>
        <w:t xml:space="preserve">авливает порядок</w:t>
      </w:r>
      <w:r>
        <w:rPr>
          <w:sz w:val="28"/>
          <w:szCs w:val="28"/>
          <w:lang w:eastAsia="ru-RU"/>
        </w:rPr>
        <w:t xml:space="preserve"> и стандарт</w:t>
      </w:r>
      <w:r>
        <w:rPr>
          <w:sz w:val="28"/>
          <w:szCs w:val="28"/>
          <w:lang w:eastAsia="ru-RU"/>
        </w:rPr>
        <w:t xml:space="preserve"> предоставления </w:t>
      </w:r>
      <w:r>
        <w:rPr>
          <w:bCs/>
          <w:sz w:val="28"/>
          <w:szCs w:val="28"/>
          <w:lang w:eastAsia="ru-RU"/>
        </w:rPr>
        <w:t xml:space="preserve">государственной</w:t>
      </w:r>
      <w:r>
        <w:rPr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 «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редоставление земельных участков, находящихся в государственной собственности Новосибирской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sz w:val="28"/>
          <w:szCs w:val="28"/>
          <w:lang w:eastAsia="ru-RU"/>
        </w:rPr>
        <w:t xml:space="preserve">»</w:t>
      </w:r>
      <w:r>
        <w:rPr>
          <w:sz w:val="28"/>
          <w:szCs w:val="28"/>
          <w:lang w:eastAsia="ru-RU"/>
        </w:rPr>
        <w:t xml:space="preserve"> (далее – Услуга).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предоставляется</w:t>
      </w:r>
      <w:r>
        <w:rPr>
          <w:sz w:val="28"/>
          <w:szCs w:val="28"/>
          <w:lang w:val="en-US" w:eastAsia="ru-RU"/>
        </w:rPr>
        <w:t xml:space="preserve"> следующим категориям заявителей: </w:t>
      </w:r>
      <w:r>
        <w:rPr>
          <w:sz w:val="28"/>
          <w:szCs w:val="28"/>
        </w:rPr>
        <w:t xml:space="preserve">физическим лицам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имеющим право на приобретение земельного участка в собственность или аренду </w:t>
      </w:r>
      <w:r>
        <w:rPr>
          <w:sz w:val="28"/>
          <w:szCs w:val="28"/>
        </w:rPr>
        <w:t xml:space="preserve">для индивидуального жилищного строительства, ведения личного подсобного хозяйства в границах населенного пункта, садоводства для собственных нужд </w:t>
      </w:r>
      <w:r>
        <w:rPr>
          <w:sz w:val="28"/>
          <w:szCs w:val="28"/>
        </w:rPr>
        <w:t xml:space="preserve">без проведения торгов в случаях, установленных подпунктом 10 пункта 2 статьи 39.3, подпунктом</w:t>
      </w:r>
      <w:r>
        <w:rPr>
          <w:sz w:val="28"/>
          <w:szCs w:val="28"/>
          <w:lang w:eastAsia="ru-RU"/>
        </w:rPr>
        <w:t xml:space="preserve"> 15 пункта 2</w:t>
      </w:r>
      <w:r>
        <w:rPr>
          <w:sz w:val="28"/>
          <w:szCs w:val="28"/>
        </w:rPr>
        <w:t xml:space="preserve"> статьи</w:t>
      </w:r>
      <w:r>
        <w:rPr>
          <w:sz w:val="28"/>
          <w:szCs w:val="28"/>
          <w:lang w:eastAsia="ru-RU"/>
        </w:rPr>
        <w:t xml:space="preserve"> </w:t>
      </w:r>
      <w:r>
        <w:rPr>
          <w:sz w:val="28"/>
          <w:szCs w:val="28"/>
        </w:rPr>
        <w:t xml:space="preserve">39.6 и статьи 39.18 Земельного кодекса Российской Федерации; </w:t>
      </w:r>
      <w:r>
        <w:rPr>
          <w:sz w:val="28"/>
          <w:szCs w:val="28"/>
        </w:rPr>
        <w:t xml:space="preserve">уполномоченному представителю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далее</w:t>
      </w:r>
      <w:r>
        <w:rPr>
          <w:sz w:val="28"/>
          <w:szCs w:val="28"/>
        </w:rPr>
        <w:t xml:space="preserve"> – заявители)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указанным в таблице 1</w:t>
      </w:r>
      <w:r>
        <w:rPr>
          <w:sz w:val="28"/>
          <w:szCs w:val="28"/>
          <w:lang w:eastAsia="ru-RU"/>
        </w:rPr>
        <w:t xml:space="preserve"> приложения </w:t>
      </w:r>
      <w:r>
        <w:rPr>
          <w:sz w:val="28"/>
          <w:szCs w:val="28"/>
          <w:lang w:eastAsia="ru-RU"/>
        </w:rPr>
        <w:t xml:space="preserve">к </w:t>
      </w:r>
      <w:r>
        <w:rPr>
          <w:sz w:val="28"/>
          <w:szCs w:val="28"/>
          <w:lang w:eastAsia="ru-RU"/>
        </w:rPr>
        <w:t xml:space="preserve">настоящему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дминистративному регламенту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</w:t>
      </w:r>
      <w:r>
        <w:rPr>
          <w:sz w:val="28"/>
          <w:szCs w:val="28"/>
        </w:rPr>
        <w:t xml:space="preserve">твии </w:t>
      </w:r>
      <w:r>
        <w:rPr>
          <w:iCs/>
          <w:color w:val="000000" w:themeColor="text1"/>
          <w:sz w:val="28"/>
          <w:szCs w:val="28"/>
        </w:rPr>
        <w:t xml:space="preserve">с кате</w:t>
      </w:r>
      <w:r>
        <w:rPr>
          <w:iCs/>
          <w:color w:val="000000" w:themeColor="text1"/>
          <w:sz w:val="28"/>
          <w:szCs w:val="28"/>
        </w:rPr>
        <w:t xml:space="preserve">гориями (признаками) заявителя, </w:t>
      </w:r>
      <w:r>
        <w:rPr>
          <w:iCs/>
          <w:color w:val="000000" w:themeColor="text1"/>
          <w:sz w:val="28"/>
          <w:szCs w:val="28"/>
        </w:rPr>
        <w:t xml:space="preserve">сведения о которых</w:t>
      </w:r>
      <w:r>
        <w:rPr>
          <w:iCs/>
          <w:color w:val="000000" w:themeColor="text1"/>
          <w:sz w:val="28"/>
          <w:szCs w:val="28"/>
        </w:rPr>
        <w:t xml:space="preserve"> размещаются в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iCs/>
          <w:color w:val="000000" w:themeColor="text1"/>
          <w:sz w:val="28"/>
          <w:szCs w:val="28"/>
        </w:rPr>
        <w:t xml:space="preserve">и в федеральной государственной </w:t>
      </w:r>
      <w:r>
        <w:rPr>
          <w:iCs/>
          <w:color w:val="000000" w:themeColor="text1"/>
          <w:sz w:val="28"/>
          <w:szCs w:val="28"/>
        </w:rPr>
        <w:t xml:space="preserve">информационной системе «Единый портал государственных и муниципальных услуг (функций)</w:t>
      </w:r>
      <w:r>
        <w:rPr>
          <w:iCs/>
          <w:color w:val="000000" w:themeColor="text1"/>
          <w:sz w:val="28"/>
          <w:szCs w:val="28"/>
        </w:rPr>
        <w:t xml:space="preserve">»</w:t>
      </w:r>
      <w:r>
        <w:rPr>
          <w:vertAlign w:val="superscript"/>
        </w:rPr>
        <w:footnoteReference w:id="2"/>
      </w:r>
      <w:r>
        <w:rPr>
          <w:iCs/>
          <w:color w:val="000000" w:themeColor="text1"/>
          <w:sz w:val="28"/>
          <w:szCs w:val="28"/>
        </w:rPr>
        <w:t xml:space="preserve"> (далее – Единый портал).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160"/>
        <w:rPr>
          <w:b/>
          <w:sz w:val="28"/>
          <w:szCs w:val="28"/>
          <w:lang w:eastAsia="ru-RU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II</w:t>
      </w:r>
      <w:r>
        <w:rPr>
          <w:rFonts w:eastAsia="Yu Gothic Light"/>
          <w:b/>
          <w:bCs/>
          <w:sz w:val="28"/>
          <w:szCs w:val="28"/>
        </w:rPr>
        <w:t xml:space="preserve"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 xml:space="preserve">У</w:t>
      </w:r>
      <w:r>
        <w:rPr>
          <w:rFonts w:eastAsia="Yu Gothic Light"/>
          <w:b/>
          <w:bCs/>
          <w:sz w:val="28"/>
          <w:szCs w:val="28"/>
        </w:rPr>
        <w:t xml:space="preserve">слуги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center"/>
        <w:keepLines/>
        <w:keepNext/>
        <w:spacing w:before="40" w:after="16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Наименование У</w:t>
      </w:r>
      <w:r>
        <w:rPr>
          <w:b/>
          <w:bCs/>
          <w:sz w:val="28"/>
          <w:szCs w:val="28"/>
          <w:lang w:eastAsia="ru-RU"/>
        </w:rPr>
        <w:t xml:space="preserve">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val="en-US"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редоставление земельных участков, находящихся в государственной собственности Новосибирской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sz w:val="28"/>
          <w:szCs w:val="28"/>
          <w:lang w:val="en-US" w:eastAsia="ru-RU"/>
        </w:rPr>
        <w:t xml:space="preserve">.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Наименование органа, предоставляющего Услугу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предоставляется</w:t>
      </w:r>
      <w:r>
        <w:rPr>
          <w:sz w:val="28"/>
          <w:szCs w:val="28"/>
          <w:lang w:val="en-US" w:eastAsia="ru-RU"/>
        </w:rPr>
        <w:t xml:space="preserve"> д</w:t>
      </w:r>
      <w:r>
        <w:rPr>
          <w:sz w:val="28"/>
          <w:szCs w:val="28"/>
          <w:lang w:val="en-US"/>
        </w:rPr>
        <w:t xml:space="preserve">епартаментом имущества и земельных отношений Новосибирской области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(</w:t>
      </w:r>
      <w:r>
        <w:rPr>
          <w:sz w:val="28"/>
          <w:szCs w:val="28"/>
          <w:lang w:eastAsia="ru-RU"/>
        </w:rPr>
        <w:t xml:space="preserve"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Орган власти</w:t>
      </w:r>
      <w:r>
        <w:rPr>
          <w:sz w:val="28"/>
          <w:szCs w:val="28"/>
          <w:lang w:val="en-US" w:eastAsia="ru-RU"/>
        </w:rPr>
        <w:t xml:space="preserve">)</w:t>
      </w:r>
      <w:r>
        <w:rPr>
          <w:sz w:val="28"/>
          <w:szCs w:val="28"/>
          <w:lang w:val="en-US"/>
        </w:rPr>
        <w:t xml:space="preserve">.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 xml:space="preserve">предварительным согласованием </w:t>
      </w:r>
      <w:r>
        <w:rPr>
          <w:sz w:val="28"/>
          <w:szCs w:val="28"/>
          <w:lang w:val="en-US"/>
        </w:rPr>
        <w:t xml:space="preserve">предоставления земельных участков, находящихся в государственной собственности Новосибирской области, </w:t>
      </w:r>
      <w:r>
        <w:rPr>
          <w:sz w:val="28"/>
          <w:szCs w:val="28"/>
        </w:rPr>
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(</w:t>
      </w:r>
      <w:r>
        <w:rPr>
          <w:sz w:val="28"/>
          <w:szCs w:val="28"/>
        </w:rPr>
        <w:t xml:space="preserve">в случае, если земельный участок предстоит образовать)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результатами</w:t>
      </w:r>
      <w:r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Услуги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решение об отказе в предварительном согласовании предоставления земельного участка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или 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решение о предварительном согласовании предоставления земельного участка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или </w:t>
      </w:r>
      <w:r>
        <w:rPr>
          <w:sz w:val="28"/>
          <w:szCs w:val="28"/>
        </w:rPr>
        <w:t xml:space="preserve">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highlight w:val="none"/>
          <w:lang w:val="en-US" w:eastAsia="ru-RU"/>
        </w:rPr>
      </w:r>
      <w:r>
        <w:rPr>
          <w:sz w:val="28"/>
          <w:szCs w:val="28"/>
        </w:rPr>
        <w:t xml:space="preserve">решение об отказе в предварительном согласовании предоставления земельного участка без проведения аукциона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или </w:t>
      </w:r>
      <w:r>
        <w:rPr>
          <w:sz w:val="28"/>
          <w:szCs w:val="28"/>
        </w:rPr>
        <w:t xml:space="preserve">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ind w:firstLine="709"/>
        <w:jc w:val="both"/>
        <w:keepNext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sz w:val="28"/>
          <w:szCs w:val="28"/>
        </w:rPr>
        <w:t xml:space="preserve">Услуги</w:t>
      </w:r>
      <w:r>
        <w:rPr>
          <w:sz w:val="28"/>
          <w:szCs w:val="28"/>
        </w:rPr>
        <w:t xml:space="preserve"> не предусмотрено.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При обращении заявителя за </w:t>
      </w:r>
      <w:r>
        <w:rPr>
          <w:sz w:val="28"/>
          <w:szCs w:val="28"/>
        </w:rPr>
        <w:t xml:space="preserve">пр</w:t>
      </w:r>
      <w:r>
        <w:rPr>
          <w:sz w:val="28"/>
          <w:szCs w:val="28"/>
        </w:rPr>
        <w:t xml:space="preserve">едоставлением земельных участков, находящихся в государственной собственности Новосибирской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результатами</w:t>
      </w:r>
      <w:r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Услуги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84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решение об отказе в предоставлении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или 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numPr>
          <w:ilvl w:val="1"/>
          <w:numId w:val="84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проект договора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</w:t>
      </w:r>
      <w:r>
        <w:rPr>
          <w:sz w:val="28"/>
          <w:szCs w:val="28"/>
        </w:rPr>
        <w:t xml:space="preserve">или 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ind w:firstLine="709"/>
        <w:jc w:val="both"/>
        <w:keepNext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</w:rPr>
        <w:t xml:space="preserve">в) решение об отказе в предоставлении земельного участка без проведения аукциона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документ на бумажном носителе </w:t>
      </w:r>
      <w:r>
        <w:rPr>
          <w:sz w:val="28"/>
          <w:szCs w:val="28"/>
        </w:rPr>
        <w:t xml:space="preserve">или документ в электронной форме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ind w:firstLine="709"/>
        <w:jc w:val="both"/>
        <w:keepNext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sz w:val="28"/>
          <w:szCs w:val="28"/>
        </w:rPr>
        <w:t xml:space="preserve">Услуги</w:t>
      </w:r>
      <w:r>
        <w:rPr>
          <w:sz w:val="28"/>
          <w:szCs w:val="28"/>
        </w:rPr>
        <w:t xml:space="preserve"> не предусмотрено.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4"/>
          <w:szCs w:val="24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Результаты</w:t>
      </w:r>
      <w:r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могут быть получены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Органе власти</w:t>
      </w:r>
      <w:r>
        <w:rPr>
          <w:sz w:val="28"/>
          <w:szCs w:val="28"/>
        </w:rPr>
        <w:t xml:space="preserve">, посредством Единого портала, </w:t>
      </w:r>
      <w:r>
        <w:rPr>
          <w:sz w:val="28"/>
          <w:szCs w:val="28"/>
        </w:rPr>
        <w:t xml:space="preserve">в МФЦ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посредством почтовой связи</w:t>
      </w:r>
      <w:r>
        <w:rPr>
          <w:sz w:val="28"/>
          <w:szCs w:val="28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Срок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9. Максимальный с</w:t>
      </w:r>
      <w:r>
        <w:rPr>
          <w:sz w:val="28"/>
          <w:szCs w:val="28"/>
          <w:lang w:eastAsia="ru-RU"/>
        </w:rPr>
        <w:t xml:space="preserve">рок предоставления Услуги</w:t>
      </w:r>
      <w:r>
        <w:rPr>
          <w:sz w:val="28"/>
          <w:szCs w:val="28"/>
          <w:lang w:eastAsia="ru-RU"/>
        </w:rPr>
        <w:t xml:space="preserve"> составляет</w:t>
      </w:r>
      <w:r>
        <w:rPr>
          <w:sz w:val="28"/>
          <w:szCs w:val="28"/>
          <w:lang w:eastAsia="ru-RU"/>
        </w:rPr>
        <w:t xml:space="preserve"> 57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календарных дней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дня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регистрации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 xml:space="preserve"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Услуги, независимо от категории (признаков) заявителя – при обращении заявителя в Орган власти, посредством Единого портала, в МФЦ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таблице 2 приложения к настоящему Административному регламенту приведен исчерпывающий перечень документов, необходимых для предоставления Услуги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с разделением на: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  <w:t xml:space="preserve"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</w:t>
      </w:r>
      <w:r>
        <w:rPr>
          <w:sz w:val="28"/>
          <w:szCs w:val="28"/>
        </w:rPr>
        <w:t xml:space="preserve">представлению в рамках межведомственного информационного взаимодействия.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документов, необходимых для предоставления Услуги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Орган власти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отказывают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приеме</w:t>
      </w:r>
      <w:r>
        <w:rPr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</w:rPr>
        <w:t xml:space="preserve"> и документов</w:t>
      </w:r>
      <w:r>
        <w:rPr>
          <w:sz w:val="28"/>
          <w:szCs w:val="28"/>
        </w:rPr>
        <w:t xml:space="preserve"> при наличии </w:t>
      </w:r>
      <w:r>
        <w:rPr>
          <w:sz w:val="28"/>
          <w:szCs w:val="28"/>
          <w:lang w:eastAsia="ru-RU"/>
        </w:rPr>
        <w:t xml:space="preserve">следующих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оснований</w:t>
      </w:r>
      <w:r>
        <w:rPr>
          <w:sz w:val="28"/>
          <w:szCs w:val="28"/>
          <w:lang w:val="en-US" w:eastAsia="ru-RU"/>
        </w:rPr>
        <w:t xml:space="preserve">: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не представлен </w:t>
      </w:r>
      <w:r>
        <w:rPr>
          <w:sz w:val="28"/>
          <w:szCs w:val="28"/>
          <w:lang w:val="en-US"/>
        </w:rPr>
        <w:t xml:space="preserve">документ, удостоверяющий личность заявителя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не представлен 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sz w:val="28"/>
          <w:szCs w:val="28"/>
        </w:rPr>
        <w:t xml:space="preserve">Исчерпывающий перечень оснований для приостановления предоставления Услуги или отказа в предоставлении Услуги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16"/>
        </w:numPr>
        <w:contextualSpacing/>
        <w:ind w:firstLine="709"/>
        <w:jc w:val="both"/>
        <w:spacing w:after="160"/>
        <w:tabs>
          <w:tab w:val="num" w:pos="1276" w:leader="none"/>
        </w:tabs>
      </w:pPr>
      <w:r>
        <w:rPr>
          <w:sz w:val="28"/>
          <w:szCs w:val="28"/>
        </w:rPr>
        <w:t xml:space="preserve">Орган власти приостанавливает предоставление Услуги при наличии следующего основания – на дату поступления в уполномоченный орган заявления о предварительном согласовании предоставления земельного участка, образование которого предус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</w:t>
      </w:r>
      <w:r>
        <w:rPr>
          <w:sz w:val="28"/>
          <w:szCs w:val="28"/>
        </w:rPr>
        <w:t xml:space="preserve">ено этими схемами, частично или полностью совпадает.</w:t>
      </w:r>
      <w:r>
        <w:rPr>
          <w:sz w:val="28"/>
          <w:szCs w:val="28"/>
        </w:rPr>
      </w:r>
      <w:r/>
    </w:p>
    <w:p>
      <w:pPr>
        <w:numPr>
          <w:ilvl w:val="0"/>
          <w:numId w:val="16"/>
        </w:numPr>
        <w:contextualSpacing/>
        <w:ind w:firstLine="709"/>
        <w:jc w:val="both"/>
        <w:spacing w:after="160"/>
        <w:tabs>
          <w:tab w:val="num" w:pos="1276" w:leader="none"/>
        </w:tabs>
      </w:pPr>
      <w:r>
        <w:rPr>
          <w:sz w:val="28"/>
          <w:szCs w:val="28"/>
        </w:rPr>
        <w:t xml:space="preserve">Орган власти уведомляет заявителя о приостановлении предоставления Услуги с указанием оснований приостановления.</w:t>
      </w:r>
      <w:r>
        <w:rPr>
          <w:sz w:val="28"/>
          <w:szCs w:val="28"/>
        </w:rPr>
      </w:r>
      <w:r/>
    </w:p>
    <w:p>
      <w:pPr>
        <w:numPr>
          <w:ilvl w:val="0"/>
          <w:numId w:val="16"/>
        </w:numPr>
        <w:contextualSpacing/>
        <w:ind w:firstLine="709"/>
        <w:jc w:val="both"/>
        <w:spacing w:after="160"/>
        <w:tabs>
          <w:tab w:val="num" w:pos="1276" w:leader="none"/>
        </w:tabs>
      </w:pPr>
      <w:r>
        <w:rPr>
          <w:sz w:val="28"/>
          <w:szCs w:val="28"/>
        </w:rPr>
        <w:t xml:space="preserve">Орган власти возобновляет предоставление Услуги при наличии следующего основания – принятие решения об утверждении направленной или представленной ранее схемы расположения земельного участка или принятие решения об отказе в утверждении указанной схемы.</w:t>
      </w:r>
      <w:r>
        <w:rPr>
          <w:sz w:val="28"/>
          <w:szCs w:val="28"/>
        </w:rPr>
      </w:r>
      <w:r/>
    </w:p>
    <w:p>
      <w:pPr>
        <w:numPr>
          <w:ilvl w:val="0"/>
          <w:numId w:val="16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</w:rPr>
        <w:t xml:space="preserve">Орган власти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отказывает заявителю в предоставлении Услуги п</w:t>
      </w:r>
      <w:r>
        <w:rPr>
          <w:sz w:val="28"/>
          <w:szCs w:val="28"/>
          <w:lang w:eastAsia="ru-RU"/>
        </w:rPr>
        <w:t xml:space="preserve">ри обращении за </w:t>
      </w:r>
      <w:r>
        <w:rPr>
          <w:sz w:val="28"/>
          <w:szCs w:val="28"/>
        </w:rPr>
        <w:t xml:space="preserve">предварительным согласованием </w:t>
      </w:r>
      <w:r>
        <w:rPr>
          <w:sz w:val="28"/>
          <w:szCs w:val="28"/>
          <w:lang w:val="en-US"/>
        </w:rPr>
        <w:t xml:space="preserve">предоставления земельных участков </w:t>
      </w:r>
      <w:r>
        <w:rPr>
          <w:sz w:val="28"/>
          <w:szCs w:val="28"/>
        </w:rPr>
        <w:t xml:space="preserve">при наличии </w:t>
      </w:r>
      <w:r>
        <w:rPr>
          <w:sz w:val="28"/>
          <w:szCs w:val="28"/>
          <w:lang w:eastAsia="ru-RU"/>
        </w:rPr>
        <w:t xml:space="preserve">следующих оснований: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highlight w:val="none"/>
          <w:lang w:eastAsia="ru-RU"/>
        </w:rPr>
        <w:t xml:space="preserve">а) </w:t>
      </w:r>
      <w:r>
        <w:rPr>
          <w:sz w:val="28"/>
          <w:szCs w:val="28"/>
          <w:highlight w:val="none"/>
          <w:lang w:eastAsia="ru-RU"/>
        </w:rPr>
        <w:t xml:space="preserve"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Федерации;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highlight w:val="none"/>
          <w:lang w:eastAsia="ru-RU"/>
        </w:rPr>
        <w:t xml:space="preserve">б) </w:t>
      </w:r>
      <w:r>
        <w:rPr>
          <w:sz w:val="28"/>
          <w:szCs w:val="28"/>
          <w:highlight w:val="none"/>
          <w:lang w:eastAsia="ru-RU"/>
        </w:rPr>
        <w:t xml:space="preserve">земельный участок, который предстоит образовать, не может быть предоставлен заявителю по основаниям, указанным в подпунктах 1 - 13, 14.1 - 19, 22 и 23 статьи 39.16 </w:t>
      </w:r>
      <w:r>
        <w:rPr>
          <w:sz w:val="28"/>
          <w:szCs w:val="28"/>
          <w:highlight w:val="none"/>
          <w:lang w:eastAsia="ru-RU"/>
        </w:rPr>
        <w:t xml:space="preserve">Земельного кодекса Российской Федерации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highlight w:val="none"/>
          <w:lang w:eastAsia="ru-RU"/>
        </w:rPr>
        <w:t xml:space="preserve">в) </w:t>
      </w:r>
      <w:r>
        <w:rPr>
          <w:sz w:val="28"/>
          <w:szCs w:val="28"/>
          <w:highlight w:val="none"/>
          <w:lang w:eastAsia="ru-RU"/>
        </w:rPr>
        <w:t xml:space="preserve">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статьи 39.16 </w:t>
      </w:r>
      <w:r>
        <w:rPr>
          <w:sz w:val="28"/>
          <w:szCs w:val="28"/>
          <w:highlight w:val="none"/>
          <w:lang w:eastAsia="ru-RU"/>
        </w:rPr>
        <w:t xml:space="preserve">Земельного кодекса Российской Федерации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</w:rPr>
        <w:t xml:space="preserve">13. </w:t>
      </w:r>
      <w:r>
        <w:rPr>
          <w:sz w:val="28"/>
          <w:szCs w:val="28"/>
        </w:rPr>
        <w:t xml:space="preserve">Орган власти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отказывает заявителю в предоставлении Услуги п</w:t>
      </w:r>
      <w:r>
        <w:rPr>
          <w:sz w:val="28"/>
          <w:szCs w:val="28"/>
          <w:lang w:eastAsia="ru-RU"/>
        </w:rPr>
        <w:t xml:space="preserve">ри обращении за </w:t>
      </w:r>
      <w:r>
        <w:rPr>
          <w:sz w:val="28"/>
          <w:szCs w:val="28"/>
          <w:lang w:val="en-US"/>
        </w:rPr>
        <w:t xml:space="preserve">предоставлением земельных участков </w:t>
      </w:r>
      <w:r>
        <w:rPr>
          <w:sz w:val="28"/>
          <w:szCs w:val="28"/>
        </w:rPr>
        <w:t xml:space="preserve">при наличии </w:t>
      </w:r>
      <w:r>
        <w:rPr>
          <w:sz w:val="28"/>
          <w:szCs w:val="28"/>
          <w:lang w:eastAsia="ru-RU"/>
        </w:rPr>
        <w:t xml:space="preserve">следующих оснований: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</w:t>
      </w:r>
      <w:r>
        <w:rPr>
          <w:sz w:val="28"/>
          <w:szCs w:val="28"/>
          <w:lang w:val="en-US"/>
        </w:rPr>
        <w:t xml:space="preserve">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10 пункта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2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39.10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</w:t>
      </w: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</w:t>
      </w:r>
      <w:r>
        <w:rPr>
          <w:sz w:val="28"/>
          <w:szCs w:val="28"/>
          <w:lang w:val="en-US"/>
        </w:rPr>
        <w:t xml:space="preserve">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39.18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 (если такой земельный участок является садовым),</w:t>
      </w:r>
      <w:r>
        <w:rPr>
          <w:sz w:val="28"/>
          <w:szCs w:val="28"/>
          <w:lang w:val="en-US"/>
        </w:rPr>
        <w:t xml:space="preserve">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н</w:t>
      </w:r>
      <w:r>
        <w:rPr>
          <w:sz w:val="28"/>
          <w:szCs w:val="28"/>
          <w:lang w:val="en-US"/>
        </w:rPr>
        <w:t xml:space="preserve">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</w:t>
      </w:r>
      <w:r>
        <w:rPr>
          <w:sz w:val="28"/>
          <w:szCs w:val="28"/>
          <w:lang w:val="en-US"/>
        </w:rPr>
        <w:t xml:space="preserve">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, либо с заявлением о предоставл</w:t>
      </w:r>
      <w:r>
        <w:rPr>
          <w:sz w:val="28"/>
          <w:szCs w:val="28"/>
          <w:lang w:val="en-US"/>
        </w:rPr>
        <w:t xml:space="preserve">е</w:t>
      </w:r>
      <w:r>
        <w:rPr>
          <w:sz w:val="28"/>
          <w:szCs w:val="28"/>
          <w:lang w:val="en-US"/>
        </w:rPr>
        <w:t xml:space="preserve">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</w:t>
      </w:r>
      <w:r>
        <w:rPr>
          <w:sz w:val="28"/>
          <w:szCs w:val="28"/>
          <w:lang w:val="en-US"/>
        </w:rPr>
        <w:t xml:space="preserve">н</w:t>
      </w:r>
      <w:r>
        <w:rPr>
          <w:sz w:val="28"/>
          <w:szCs w:val="28"/>
          <w:lang w:val="en-US"/>
        </w:rPr>
        <w:t xml:space="preserve">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</w:t>
      </w:r>
      <w:r>
        <w:rPr>
          <w:sz w:val="28"/>
          <w:szCs w:val="28"/>
          <w:lang w:val="en-US"/>
        </w:rPr>
        <w:t xml:space="preserve">занности, предусмотренные частью 11 статьи 55.32 Градостроительного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н</w:t>
      </w:r>
      <w:r>
        <w:rPr>
          <w:sz w:val="28"/>
          <w:szCs w:val="28"/>
          <w:lang w:val="en-US"/>
        </w:rPr>
        <w:t xml:space="preserve">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</w:t>
      </w:r>
      <w:r>
        <w:rPr>
          <w:sz w:val="28"/>
          <w:szCs w:val="28"/>
          <w:lang w:val="en-US"/>
        </w:rPr>
        <w:t xml:space="preserve">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, либо с заявлен</w:t>
      </w:r>
      <w:r>
        <w:rPr>
          <w:sz w:val="28"/>
          <w:szCs w:val="28"/>
          <w:lang w:val="en-US"/>
        </w:rPr>
        <w:t xml:space="preserve">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</w:t>
      </w:r>
      <w:r>
        <w:rPr>
          <w:sz w:val="28"/>
          <w:szCs w:val="28"/>
          <w:lang w:val="en-US"/>
        </w:rPr>
        <w:t xml:space="preserve">лей резервирования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</w:t>
      </w:r>
      <w:r>
        <w:rPr>
          <w:sz w:val="28"/>
          <w:szCs w:val="28"/>
          <w:lang w:val="en-US"/>
        </w:rPr>
        <w:t xml:space="preserve">нного строительства, расположенных на таком земельном участке, или правообладатель такого земельного участка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</w:t>
      </w: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</w:t>
      </w:r>
      <w:r>
        <w:rPr>
          <w:sz w:val="28"/>
          <w:szCs w:val="28"/>
          <w:lang w:val="en-US"/>
        </w:rPr>
        <w:t xml:space="preserve"> строительство указанных объектов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 территории, либо расположен в границах территории, в отношении которой принято решение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</w:t>
      </w:r>
      <w:r>
        <w:rPr>
          <w:sz w:val="28"/>
          <w:szCs w:val="28"/>
          <w:lang w:val="en-US"/>
        </w:rPr>
        <w:t xml:space="preserve">а</w:t>
      </w:r>
      <w:r>
        <w:rPr>
          <w:sz w:val="28"/>
          <w:szCs w:val="28"/>
          <w:lang w:val="en-US"/>
        </w:rPr>
        <w:t xml:space="preserve">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 территории, предусма</w:t>
      </w:r>
      <w:r>
        <w:rPr>
          <w:sz w:val="28"/>
          <w:szCs w:val="28"/>
          <w:lang w:val="en-US"/>
        </w:rPr>
        <w:t xml:space="preserve">тривающий обязательство данного лица по строительству указанных объектов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 19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39.11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в отношении земельного участка, указанного в заявлении о его предоставлении, поступило предусмотренное подпунктом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6 пункта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4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39.11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 заявление о проведении аукциона по его продаже или аукциона на право заключения договора его аренды </w:t>
      </w:r>
      <w:r>
        <w:rPr>
          <w:sz w:val="28"/>
          <w:szCs w:val="28"/>
          <w:lang w:val="en-US"/>
        </w:rPr>
        <w:t xml:space="preserve">при условии, что такой земельный участок образован в соответствии с подпунктом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4 пункта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4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39.11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 и уполномоченным органом не принято решение об отказе в проведении этого аукциона по основаниям, предусмотренным 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8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в отношении земельного участка, указанного в заявлении о его предоставлении, размещено в соответствии с подпунктом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 пункта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39.18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 извещение о предоставлении земельного участка для индивидуального жилищного строительства, ведения </w:t>
      </w:r>
      <w:r>
        <w:rPr>
          <w:sz w:val="28"/>
          <w:szCs w:val="28"/>
          <w:lang w:val="en-US"/>
        </w:rPr>
        <w:t xml:space="preserve">личного подсобного хозяйства в границах населенных пунктов, ведения гражданами садоводства для собственных нужд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ц</w:t>
      </w:r>
      <w:r>
        <w:rPr>
          <w:sz w:val="28"/>
          <w:szCs w:val="28"/>
          <w:lang w:val="en-US"/>
        </w:rPr>
        <w:t xml:space="preserve">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</w:t>
      </w: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</w:t>
      </w:r>
      <w:r>
        <w:rPr>
          <w:sz w:val="28"/>
          <w:szCs w:val="28"/>
          <w:lang w:val="en-US"/>
        </w:rPr>
        <w:t xml:space="preserve">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</w:t>
      </w:r>
      <w:r>
        <w:rPr>
          <w:sz w:val="28"/>
          <w:szCs w:val="28"/>
          <w:lang w:val="en-US"/>
        </w:rPr>
        <w:t xml:space="preserve">ользования такого земельного участка, указанными в заявлении о предоставлении земельного участка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</w:t>
      </w:r>
      <w:r>
        <w:rPr>
          <w:sz w:val="28"/>
          <w:szCs w:val="28"/>
          <w:lang w:val="en-US"/>
        </w:rPr>
        <w:t xml:space="preserve">подано заявление о предоставлении земельного участка в соответствии с подпунктом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10 пункта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2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39.10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6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39.10 </w:t>
      </w:r>
      <w:r>
        <w:rPr>
          <w:sz w:val="28"/>
          <w:szCs w:val="28"/>
          <w:lang w:val="en-US"/>
        </w:rPr>
        <w:t xml:space="preserve">Земельного Кодекса Российской Федерации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</w:t>
      </w:r>
      <w:r>
        <w:rPr>
          <w:sz w:val="28"/>
          <w:szCs w:val="28"/>
          <w:lang w:val="en-US"/>
        </w:rPr>
        <w:t xml:space="preserve">о</w:t>
      </w:r>
      <w:r>
        <w:rPr>
          <w:sz w:val="28"/>
          <w:szCs w:val="28"/>
          <w:lang w:val="en-US"/>
        </w:rPr>
        <w:t xml:space="preserve">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</w:t>
      </w:r>
      <w:r>
        <w:rPr>
          <w:sz w:val="28"/>
          <w:szCs w:val="28"/>
          <w:lang w:val="en-US"/>
        </w:rPr>
        <w:t xml:space="preserve">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</w:t>
      </w:r>
      <w:r>
        <w:rPr>
          <w:sz w:val="28"/>
          <w:szCs w:val="28"/>
          <w:lang w:val="en-US"/>
        </w:rPr>
        <w:t xml:space="preserve">и</w:t>
      </w:r>
      <w:r>
        <w:rPr>
          <w:sz w:val="28"/>
          <w:szCs w:val="28"/>
          <w:lang w:val="en-US"/>
        </w:rPr>
        <w:t xml:space="preserve">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</w:t>
      </w:r>
      <w:r>
        <w:rPr>
          <w:sz w:val="28"/>
          <w:szCs w:val="28"/>
          <w:lang w:val="en-US"/>
        </w:rPr>
        <w:t xml:space="preserve">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предоставление земельного участка на заявленном виде прав не допускается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в отношении земельного участка, указанного в заявлении о его предоставлении, не установлен вид разрешенного использовани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указанный в заявлении о предоставлении земельного участка земельный участок не отнесен к определенной категории земель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в</w:t>
      </w:r>
      <w:r>
        <w:rPr>
          <w:sz w:val="28"/>
          <w:szCs w:val="28"/>
          <w:lang w:val="en-US"/>
        </w:rPr>
        <w:t xml:space="preserve">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</w:t>
      </w:r>
      <w:r>
        <w:rPr>
          <w:sz w:val="28"/>
          <w:szCs w:val="28"/>
          <w:lang w:val="en-US"/>
        </w:rPr>
        <w:t xml:space="preserve">в этом решении лицо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 у</w:t>
      </w:r>
      <w:r>
        <w:rPr>
          <w:sz w:val="28"/>
          <w:szCs w:val="28"/>
          <w:lang w:val="en-US"/>
        </w:rPr>
        <w:t xml:space="preserve">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</w:t>
      </w:r>
      <w:r>
        <w:rPr>
          <w:sz w:val="28"/>
          <w:szCs w:val="28"/>
          <w:lang w:val="en-US"/>
        </w:rPr>
        <w:t xml:space="preserve">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 границы земельного участка, указанного в заявлении о его предоставлении, подлежат уточнению в соответствии с Федеральным законом </w:t>
      </w:r>
      <w:r>
        <w:rPr>
          <w:sz w:val="28"/>
          <w:szCs w:val="28"/>
          <w:lang w:val="en-US"/>
        </w:rPr>
        <w:t xml:space="preserve">«</w:t>
      </w:r>
      <w:r>
        <w:rPr>
          <w:sz w:val="28"/>
          <w:szCs w:val="28"/>
          <w:lang w:val="en-US"/>
        </w:rPr>
        <w:t xml:space="preserve">О государственной регистрации недвижимости</w:t>
      </w:r>
      <w:r>
        <w:rPr>
          <w:sz w:val="28"/>
          <w:szCs w:val="28"/>
          <w:lang w:val="en-US"/>
        </w:rPr>
        <w:t xml:space="preserve">»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п</w:t>
      </w:r>
      <w:r>
        <w:rPr>
          <w:sz w:val="28"/>
          <w:szCs w:val="28"/>
          <w:lang w:val="en-US"/>
        </w:rPr>
        <w:t xml:space="preserve">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</w:t>
      </w:r>
      <w:r>
        <w:rPr>
          <w:sz w:val="28"/>
          <w:szCs w:val="28"/>
          <w:lang w:val="en-US"/>
        </w:rPr>
        <w:t xml:space="preserve">ельный участок образован, более чем на десять процентов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6"/>
        </w:numPr>
        <w:contextualSpacing/>
        <w:ind w:lef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t xml:space="preserve"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4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18 Федерального закона от 24 июля 2007 года № 209-ФЗ </w:t>
      </w:r>
      <w:r>
        <w:rPr>
          <w:sz w:val="28"/>
          <w:szCs w:val="28"/>
          <w:lang w:val="en-US"/>
        </w:rPr>
        <w:t xml:space="preserve">«</w:t>
      </w:r>
      <w:r>
        <w:rPr>
          <w:sz w:val="28"/>
          <w:szCs w:val="28"/>
          <w:lang w:val="en-US"/>
        </w:rPr>
        <w:t xml:space="preserve">О развитии малого и среднего пре</w:t>
      </w:r>
      <w:r>
        <w:rPr>
          <w:sz w:val="28"/>
          <w:szCs w:val="28"/>
          <w:lang w:val="en-US"/>
        </w:rPr>
        <w:t xml:space="preserve">дпринимательства в Российской Федерации</w:t>
      </w:r>
      <w:r>
        <w:rPr>
          <w:sz w:val="28"/>
          <w:szCs w:val="28"/>
          <w:lang w:val="en-US"/>
        </w:rPr>
        <w:t xml:space="preserve">»</w:t>
      </w:r>
      <w:r>
        <w:rPr>
          <w:sz w:val="28"/>
          <w:szCs w:val="28"/>
          <w:lang w:val="en-US"/>
        </w:rPr>
        <w:t xml:space="preserve">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частью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3 статьи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  <w:lang w:val="en-US"/>
        </w:rPr>
        <w:t xml:space="preserve">14 указанного Федерального закон</w:t>
      </w:r>
      <w:r>
        <w:rPr>
          <w:sz w:val="28"/>
          <w:szCs w:val="28"/>
          <w:lang w:val="en-US"/>
        </w:rPr>
        <w:t xml:space="preserve">а</w:t>
      </w:r>
      <w:r>
        <w:rPr>
          <w:sz w:val="28"/>
          <w:szCs w:val="28"/>
          <w:lang w:val="en-US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480" w:after="240" w:line="276" w:lineRule="auto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  <w:t xml:space="preserve">, и способы ее взимания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очере</w:t>
      </w:r>
      <w:r>
        <w:rPr>
          <w:b/>
          <w:bCs/>
          <w:sz w:val="28"/>
          <w:szCs w:val="28"/>
          <w:lang w:eastAsia="ru-RU"/>
        </w:rPr>
        <w:t xml:space="preserve">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15. </w:t>
      </w: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 xml:space="preserve">минут</w:t>
      </w:r>
      <w:r>
        <w:rPr>
          <w:sz w:val="28"/>
          <w:szCs w:val="28"/>
          <w:lang w:val="en-US" w:eastAsia="ru-RU"/>
        </w:rPr>
        <w:t xml:space="preserve"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16. </w:t>
      </w:r>
      <w:r>
        <w:rPr>
          <w:sz w:val="28"/>
          <w:szCs w:val="28"/>
          <w:lang w:eastAsia="ru-RU"/>
        </w:rPr>
        <w:t xml:space="preserve">Максимальный срок ожидания в оч</w:t>
      </w:r>
      <w:r>
        <w:rPr>
          <w:sz w:val="28"/>
          <w:szCs w:val="28"/>
          <w:lang w:eastAsia="ru-RU"/>
        </w:rPr>
        <w:t xml:space="preserve">ереди при получении результата</w:t>
      </w:r>
      <w:r>
        <w:rPr>
          <w:sz w:val="28"/>
          <w:szCs w:val="28"/>
          <w:lang w:eastAsia="ru-RU"/>
        </w:rPr>
        <w:t xml:space="preserve"> Услуги составляет 15 минут.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lang w:eastAsia="ru-RU"/>
        </w:rPr>
        <w:t xml:space="preserve"> о предоставлении Услуги</w:t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17.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документов</w:t>
      </w:r>
      <w:r>
        <w:rPr>
          <w:sz w:val="28"/>
          <w:szCs w:val="28"/>
          <w:lang w:val="en-US" w:eastAsia="ru-RU"/>
        </w:rPr>
        <w:t xml:space="preserve">,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val="en-US" w:eastAsia="ru-RU"/>
        </w:rPr>
        <w:t xml:space="preserve">,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дня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 xml:space="preserve"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val="en-US" w:eastAsia="ru-RU"/>
        </w:rPr>
        <w:t xml:space="preserve">: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а) в Органе власти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рабочий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день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firstLine="0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б) посредством Единого портала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рабочий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день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в) 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рабочий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день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г) </w:t>
      </w:r>
      <w:r>
        <w:rPr>
          <w:color w:val="000000" w:themeColor="text1"/>
          <w:sz w:val="28"/>
          <w:szCs w:val="28"/>
        </w:rPr>
        <w:t xml:space="preserve">посредством почтовой связи – </w:t>
      </w:r>
      <w:r>
        <w:rPr>
          <w:iCs/>
          <w:color w:val="000000" w:themeColor="text1"/>
          <w:sz w:val="28"/>
        </w:rPr>
        <w:t xml:space="preserve">1 рабочий день</w:t>
      </w:r>
      <w:r>
        <w:rPr>
          <w:color w:val="000000" w:themeColor="text1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1212"/>
        <w:ind w:right="-1" w:firstLine="709"/>
        <w:jc w:val="center"/>
        <w:tabs>
          <w:tab w:val="left" w:pos="284" w:leader="none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Требования к помещениям, в которых предоставляется Услуга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121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212"/>
        <w:ind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</w:t>
      </w:r>
      <w:r>
        <w:rPr>
          <w:color w:val="000000" w:themeColor="text1"/>
          <w:sz w:val="28"/>
          <w:szCs w:val="28"/>
        </w:rPr>
        <w:t xml:space="preserve">. 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121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Показатели доступности и качества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19</w:t>
      </w:r>
      <w:r>
        <w:rPr>
          <w:color w:val="000000" w:themeColor="text1"/>
          <w:sz w:val="28"/>
          <w:szCs w:val="28"/>
        </w:rPr>
        <w:t xml:space="preserve">. Показатели доступности и качества Услуги размещены на официальном сайте Орган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 власти в сети «Интернет», а также на Едином портале.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11"/>
        <w:ind w:left="0" w:right="-1"/>
        <w:jc w:val="center"/>
        <w:tabs>
          <w:tab w:val="left" w:pos="284" w:leader="none"/>
          <w:tab w:val="left" w:pos="1134" w:leader="none"/>
        </w:tabs>
        <w:rPr>
          <w:rFonts w:eastAsiaTheme="minorHAnsi"/>
          <w:b/>
          <w:color w:val="000000" w:themeColor="text1"/>
          <w:sz w:val="28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Иные требования к 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предоставлению У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слуги, в том числе учитывающие особенности 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предоставления У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слуги в многофункциональных центрах и особен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ности предоставления У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  <w:t xml:space="preserve">слуги в электронной форме</w:t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</w:r>
    </w:p>
    <w:p>
      <w:pPr>
        <w:pStyle w:val="1211"/>
        <w:ind w:left="0" w:right="-1"/>
        <w:jc w:val="center"/>
        <w:tabs>
          <w:tab w:val="left" w:pos="284" w:leader="none"/>
          <w:tab w:val="left" w:pos="1134" w:leader="none"/>
        </w:tabs>
        <w:rPr>
          <w:rFonts w:eastAsiaTheme="minorHAnsi"/>
          <w:b/>
          <w:color w:val="000000" w:themeColor="text1"/>
          <w:sz w:val="28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4"/>
          <w:lang w:eastAsia="en-US"/>
        </w:rPr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</w:r>
      <w:r>
        <w:rPr>
          <w:rFonts w:eastAsiaTheme="minorHAnsi"/>
          <w:b/>
          <w:color w:val="000000" w:themeColor="text1"/>
          <w:sz w:val="28"/>
          <w:szCs w:val="24"/>
          <w:lang w:eastAsia="en-US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20. 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21. Информационные системы, используемые для предоставления Услуги: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федеральная государственная информационная система «Единая система межведомственного электронного взаимодействия»;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2) Единый портал;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  <w:t xml:space="preserve">3)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22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езультаты предоставления Услуги в отношении несовершеннолетнего, оформленные в форме документа на бумажном носителе, не могут быть предоставлены законному представителю несовершеннолетнего в случае, если заявитель в момент подачи заявления о предоставлении</w:t>
      </w:r>
      <w:r>
        <w:rPr>
          <w:color w:val="000000" w:themeColor="text1"/>
          <w:sz w:val="28"/>
          <w:szCs w:val="28"/>
        </w:rPr>
        <w:t xml:space="preserve"> Услуги выразил письменно желание получить запрашиваемые результаты предоставления Услуги в отношении несовершеннолетнего лично.</w:t>
      </w:r>
      <w:r/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</w:t>
      </w:r>
      <w:r>
        <w:rPr>
          <w:color w:val="000000" w:themeColor="text1"/>
          <w:sz w:val="28"/>
          <w:szCs w:val="28"/>
        </w:rPr>
        <w:t xml:space="preserve">редоставление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осуществляется в соо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ветствии с настоящим Административным регламентом.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</w:t>
      </w:r>
      <w:r>
        <w:rPr>
          <w:color w:val="000000" w:themeColor="text1"/>
          <w:sz w:val="28"/>
          <w:szCs w:val="28"/>
        </w:rPr>
        <w:t xml:space="preserve">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несовершеннолетнего, а также способы их предоставления.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23</w:t>
      </w:r>
      <w:r>
        <w:rPr>
          <w:color w:val="000000" w:themeColor="text1"/>
          <w:sz w:val="28"/>
          <w:szCs w:val="28"/>
        </w:rPr>
        <w:t xml:space="preserve">. Возможность получения Услуги в МФЦ предусмотрена при наличии соглашения о взаимодействии.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</w:t>
      </w:r>
      <w:r>
        <w:rPr>
          <w:color w:val="000000" w:themeColor="text1"/>
          <w:sz w:val="28"/>
          <w:szCs w:val="28"/>
        </w:rPr>
        <w:t xml:space="preserve">каза в приеме документов предусмотренных административным регламентом.</w:t>
      </w:r>
      <w:r/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24. МФЦ осуществляет выдачу заявителю результата предоставления Услуги на бумажном носителе.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1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 xml:space="preserve">III</w:t>
      </w:r>
      <w:r>
        <w:rPr>
          <w:b/>
          <w:color w:val="000000" w:themeColor="text1"/>
          <w:sz w:val="28"/>
          <w:szCs w:val="28"/>
        </w:rPr>
        <w:t xml:space="preserve">. Состав, последовательность и сроки выполнения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Перечень осуществляемых при предоставлении Услуги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25</w:t>
      </w:r>
      <w:r>
        <w:rPr>
          <w:color w:val="000000" w:themeColor="text1"/>
          <w:sz w:val="28"/>
          <w:szCs w:val="28"/>
        </w:rPr>
        <w:t xml:space="preserve">. При предоставлении Услуги осуществляются следующие административные процедуры: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</w:rPr>
        <w:t xml:space="preserve">рофилирование заявителя;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</w:rPr>
        <w:t xml:space="preserve">рием заявления и документов и (или) информации, необходимых для предоставления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) м</w:t>
      </w:r>
      <w:r>
        <w:rPr>
          <w:color w:val="000000" w:themeColor="text1"/>
          <w:sz w:val="28"/>
          <w:szCs w:val="28"/>
        </w:rPr>
        <w:t xml:space="preserve">ежведомственное информационное взаимодействие;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211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  <w:t xml:space="preserve">г) приостановление предоставления Услуги;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</w:p>
    <w:p>
      <w:pPr>
        <w:pStyle w:val="1211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д) п</w:t>
      </w:r>
      <w:r>
        <w:rPr>
          <w:color w:val="000000" w:themeColor="text1"/>
          <w:sz w:val="28"/>
          <w:szCs w:val="28"/>
        </w:rPr>
        <w:t xml:space="preserve">ринятие решения о предоставлении (об отказе в предоставлении)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left="0" w:right="0" w:firstLine="850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е) п</w:t>
      </w:r>
      <w:r>
        <w:rPr>
          <w:color w:val="000000" w:themeColor="text1"/>
          <w:sz w:val="28"/>
          <w:szCs w:val="28"/>
        </w:rPr>
        <w:t xml:space="preserve">редоставление результата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121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 xml:space="preserve">IV</w:t>
      </w:r>
      <w:r>
        <w:rPr>
          <w:b/>
          <w:color w:val="000000" w:themeColor="text1"/>
          <w:sz w:val="28"/>
          <w:szCs w:val="28"/>
        </w:rPr>
        <w:t xml:space="preserve">. Способы информирования заявителя об изменении статуса рассмотрения заявления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212"/>
        <w:ind w:firstLine="851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. </w:t>
      </w:r>
      <w:r>
        <w:rPr>
          <w:color w:val="000000" w:themeColor="text1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 </w:t>
      </w:r>
      <w:r>
        <w:rPr>
          <w:color w:val="000000" w:themeColor="text1"/>
          <w:sz w:val="28"/>
          <w:szCs w:val="28"/>
        </w:rPr>
        <w:t xml:space="preserve">посредством Единого портала, электронной почты, а также сообщается посредством телефонной связи, при личном обращении в Орган власти.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05"/>
        <w:gridCol w:w="4000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rPr>
                <w:color w:val="000000" w:themeColor="text1"/>
                <w:sz w:val="8"/>
              </w:rPr>
            </w:pPr>
            <w:r>
              <w:rPr>
                <w:color w:val="000000" w:themeColor="text1"/>
                <w:sz w:val="8"/>
              </w:rPr>
            </w:r>
            <w:r>
              <w:rPr>
                <w:color w:val="000000" w:themeColor="text1"/>
                <w:sz w:val="8"/>
              </w:rPr>
            </w:r>
            <w:r>
              <w:rPr>
                <w:color w:val="000000" w:themeColor="text1"/>
                <w:sz w:val="8"/>
              </w:rPr>
            </w:r>
          </w:p>
          <w:p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Приложение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  <w:p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к</w:t>
            </w:r>
            <w:r>
              <w:rPr>
                <w:color w:val="000000" w:themeColor="text1"/>
                <w:sz w:val="28"/>
              </w:rPr>
              <w:t xml:space="preserve"> Административному регламенту, утвержденному приказом департамента имущества и земельных отношений Новосибирской области от_______№____________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  <w:p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</w:tr>
    </w:tbl>
    <w:p>
      <w:pPr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</w:t>
      </w:r>
      <w:r>
        <w:rPr>
          <w:b/>
          <w:color w:val="000000" w:themeColor="text1"/>
          <w:sz w:val="28"/>
        </w:rPr>
        <w:t xml:space="preserve">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</w:t>
      </w:r>
      <w:r>
        <w:rPr>
          <w:b/>
          <w:color w:val="000000" w:themeColor="text1"/>
          <w:sz w:val="28"/>
        </w:rPr>
        <w:t xml:space="preserve">ОТКАЗА В</w:t>
      </w:r>
      <w:r>
        <w:rPr>
          <w:b/>
          <w:color w:val="000000" w:themeColor="text1"/>
          <w:sz w:val="28"/>
        </w:rPr>
        <w:t xml:space="preserve"> ПРЕДОСТ</w:t>
      </w:r>
      <w:r>
        <w:rPr>
          <w:b/>
          <w:color w:val="000000" w:themeColor="text1"/>
          <w:sz w:val="28"/>
        </w:rPr>
        <w:t xml:space="preserve">АВЛЕНИИ ГОСУДАРСТВЕННОЙ УСЛУГИ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05"/>
        <w:numPr>
          <w:ilvl w:val="0"/>
          <w:numId w:val="74"/>
        </w:num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Перечень условных обозначений и сокращений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Условные обозначения: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ЕПГУ - </w:t>
      </w:r>
      <w:r>
        <w:rPr>
          <w:color w:val="000000" w:themeColor="text1"/>
          <w:sz w:val="20"/>
        </w:rPr>
        <w:t xml:space="preserve">ф</w:t>
      </w:r>
      <w:r>
        <w:rPr>
          <w:color w:val="000000" w:themeColor="text1"/>
          <w:sz w:val="20"/>
        </w:rPr>
        <w:t xml:space="preserve">едеральная государственная информационная система «Единый портал государственных и муниципальных услуг (функций)»</w:t>
      </w:r>
      <w:r>
        <w:rPr>
          <w:color w:val="000000" w:themeColor="text1"/>
          <w:sz w:val="20"/>
        </w:rPr>
        <w:t xml:space="preserve"> (Единый портал)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ИФ (ЕПГУ) - посредством заполнения интерактивной формы на Едином портале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МФЦ - </w:t>
      </w:r>
      <w:r>
        <w:rPr>
          <w:color w:val="000000" w:themeColor="text1"/>
          <w:sz w:val="20"/>
        </w:rPr>
        <w:t xml:space="preserve">многофункциональный центр предоставления государственных и муниципальных услуг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14"/>
        </w:rPr>
      </w:pPr>
      <w:r>
        <w:rPr>
          <w:color w:val="000000" w:themeColor="text1"/>
          <w:sz w:val="20"/>
          <w:szCs w:val="28"/>
        </w:rPr>
        <w:t xml:space="preserve">ОД -предъявление оригинала документа</w:t>
      </w:r>
      <w:r>
        <w:rPr>
          <w:color w:val="000000" w:themeColor="text1"/>
          <w:sz w:val="14"/>
        </w:rPr>
      </w:r>
      <w:r>
        <w:rPr>
          <w:color w:val="000000" w:themeColor="text1"/>
          <w:sz w:val="14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К (п) - копия документа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К (з) - копия документа, заверенная в порядке, установленном законодательством Российской Федерации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highlight w:val="none"/>
        </w:rPr>
        <w:t xml:space="preserve">СОД – скан-образ документа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Почта - посредством почтовой связи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ОГВ</w:t>
      </w:r>
      <w:r>
        <w:rPr>
          <w:color w:val="000000" w:themeColor="text1"/>
          <w:sz w:val="20"/>
        </w:rPr>
        <w:t xml:space="preserve"> – департамент имущества и земельных отношений Новосибирской области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ilvl w:val="0"/>
          <w:numId w:val="73"/>
        </w:num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highlight w:val="none"/>
        </w:rPr>
        <w:t xml:space="preserve">ЕГРН – единый государственный реестр недвижимости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1005"/>
        <w:numPr>
          <w:ilvl w:val="0"/>
          <w:numId w:val="74"/>
        </w:num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Идентификаторы категорий (признаков) заявителей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</w:rPr>
        <w:t xml:space="preserve">Таблица 1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tbl>
      <w:tblPr>
        <w:tblW w:w="5000" w:type="pct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ook w:val="04A0" w:firstRow="1" w:lastRow="0" w:firstColumn="1" w:lastColumn="0" w:noHBand="0" w:noVBand="1"/>
      </w:tblPr>
      <w:tblGrid>
        <w:gridCol w:w="744"/>
        <w:gridCol w:w="2639"/>
        <w:gridCol w:w="4724"/>
        <w:gridCol w:w="2098"/>
      </w:tblGrid>
      <w:tr>
        <w:tblPrEx/>
        <w:trPr>
          <w:tblHeader/>
        </w:trPr>
        <w:tc>
          <w:tcPr>
            <w:tcW w:w="10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Результат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5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Наименования отдельного признака заявителя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10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П</w:t>
            </w:r>
            <w:r>
              <w:rPr>
                <w:color w:val="000000" w:themeColor="text1"/>
                <w:sz w:val="20"/>
              </w:rPr>
              <w:t xml:space="preserve">редоставление земельных участков, находящихся в государственной собственности Новосибирской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  <w:r>
              <w:rPr>
                <w:color w:val="000000" w:themeColor="text1"/>
                <w:sz w:val="20"/>
              </w:rPr>
              <w:t xml:space="preserve">           </w:t>
            </w:r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W w:w="750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физическое лицо (при обращении за предварительным согласованием предоставления земельного участка в аренду или собственность для </w:t>
            </w:r>
            <w:r>
              <w:rPr>
                <w:color w:val="000000" w:themeColor="text1"/>
                <w:sz w:val="20"/>
              </w:rPr>
              <w:t xml:space="preserve"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  <w:r>
              <w:rPr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10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50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физическое лицо (</w:t>
            </w:r>
            <w:r>
              <w:rPr>
                <w:color w:val="000000" w:themeColor="text1"/>
                <w:sz w:val="20"/>
                <w:szCs w:val="20"/>
              </w:rPr>
              <w:t xml:space="preserve">при обращении за предоставлением земельного участка в аренду или собственность для </w:t>
            </w:r>
            <w:r>
              <w:rPr>
                <w:color w:val="000000" w:themeColor="text1"/>
                <w:sz w:val="20"/>
              </w:rPr>
              <w:t xml:space="preserve"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  <w:r>
              <w:rPr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1050" w:type="dxa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500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уполномоченный представитель заявителя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1Б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</w:tbl>
    <w:p>
      <w:pPr>
        <w:pStyle w:val="1213"/>
        <w:ind w:firstLine="0"/>
      </w:pPr>
      <w:r/>
      <w:r/>
    </w:p>
    <w:p>
      <w:pPr>
        <w:pStyle w:val="1005"/>
        <w:numPr>
          <w:ilvl w:val="0"/>
          <w:numId w:val="74"/>
        </w:numPr>
        <w:jc w:val="center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Исчерпывающий перечень документов, необходимых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br/>
        <w:t xml:space="preserve">для предоставления Услуги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2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5000" w:type="pct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625"/>
        <w:gridCol w:w="3978"/>
        <w:gridCol w:w="2694"/>
      </w:tblGrid>
      <w:tr>
        <w:tblPrEx/>
        <w:trPr>
          <w:tblHeader/>
        </w:trPr>
        <w:tc>
          <w:tcPr>
            <w:shd w:val="clear" w:color="ffffff" w:fill="d9e1f2"/>
            <w:tcW w:w="64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tcW w:w="262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tcW w:w="397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tcW w:w="26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Способ предоставления, требования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/>
                <w:i/>
                <w:color w:val="000000" w:themeColor="text1"/>
                <w:sz w:val="20"/>
              </w:rPr>
              <w:t xml:space="preserve"> (в зависимости от конкретной жизненной ситуации)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1.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1А-2А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паспорт</w:t>
            </w:r>
            <w:r>
              <w:rPr>
                <w:b/>
                <w:color w:val="000000" w:themeColor="text1"/>
                <w:sz w:val="20"/>
              </w:rPr>
              <w:t xml:space="preserve"> гражданина Российской Федерации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ИФ (ЕПГУ)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b/>
                <w:color w:val="000000" w:themeColor="text1"/>
                <w:sz w:val="20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1А-2А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иной</w:t>
            </w:r>
            <w:r>
              <w:rPr>
                <w:b/>
                <w:color w:val="000000" w:themeColor="text1"/>
                <w:sz w:val="20"/>
              </w:rPr>
              <w:t xml:space="preserve"> документ, удостоверяющий личность заявителя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ОД 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 ИФ (ЕПГУ)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646" w:type="dxa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3.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2625" w:type="dxa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1А-2А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3978" w:type="dxa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auto"/>
                <w:sz w:val="20"/>
              </w:rPr>
              <w:t xml:space="preserve">согласие</w:t>
            </w:r>
            <w:r>
              <w:rPr>
                <w:b/>
                <w:color w:val="auto"/>
                <w:sz w:val="20"/>
              </w:rPr>
              <w:t xml:space="preserve"> на обработку персональных данных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ОД</w:t>
            </w:r>
            <w:r>
              <w:rPr>
                <w:b/>
                <w:color w:val="auto"/>
                <w:sz w:val="20"/>
              </w:rPr>
              <w:t xml:space="preserve">=&gt;ОГВ</w:t>
            </w:r>
            <w:r>
              <w:rPr>
                <w:b/>
                <w:color w:val="auto"/>
                <w:sz w:val="20"/>
              </w:rPr>
            </w:r>
            <w:r>
              <w:rPr>
                <w:b/>
                <w:color w:val="auto"/>
                <w:sz w:val="20"/>
              </w:rPr>
            </w:r>
          </w:p>
          <w:p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ОД</w:t>
            </w:r>
            <w:r>
              <w:rPr>
                <w:b/>
                <w:color w:val="auto"/>
                <w:sz w:val="20"/>
              </w:rPr>
              <w:t xml:space="preserve">=&gt;Почта</w:t>
            </w:r>
            <w:r>
              <w:rPr>
                <w:b/>
                <w:color w:val="auto"/>
                <w:sz w:val="20"/>
              </w:rPr>
            </w:r>
            <w:r>
              <w:rPr>
                <w:b/>
                <w:color w:val="auto"/>
                <w:sz w:val="2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схема расположения земельного участка на кадастровом плане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ОД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highlight w:val="none"/>
              </w:rPr>
            </w:r>
            <w:r>
              <w:rPr>
                <w:b/>
                <w:color w:val="000000" w:themeColor="text1"/>
                <w:sz w:val="20"/>
              </w:rPr>
              <w:t xml:space="preserve">ОД=&gt;Почта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646" w:type="dxa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5.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2625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1Б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978" w:type="dxa"/>
            <w:vMerge w:val="restart"/>
            <w:textDirection w:val="lrTb"/>
            <w:noWrap w:val="false"/>
          </w:tcPr>
          <w:p>
            <w:r>
              <w:rPr>
                <w:b/>
                <w:color w:val="000000" w:themeColor="text1"/>
                <w:sz w:val="20"/>
              </w:rPr>
              <w:t xml:space="preserve">документ, подтверждающий полномочия представителя заявителя</w:t>
            </w:r>
            <w:r/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ОД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ОД 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 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r>
              <w:rPr>
                <w:b/>
                <w:color w:val="000000" w:themeColor="text1"/>
                <w:sz w:val="20"/>
              </w:rPr>
              <w:t xml:space="preserve">                </w:t>
            </w:r>
            <w:r>
              <w:rPr>
                <w:b/>
                <w:color w:val="000000" w:themeColor="text1"/>
                <w:sz w:val="20"/>
              </w:rPr>
              <w:t xml:space="preserve">К (з)=&gt;Почта</w:t>
            </w:r>
            <w:r>
              <w:rPr>
                <w:b/>
                <w:color w:val="000000" w:themeColor="text1"/>
                <w:sz w:val="20"/>
              </w:rPr>
            </w:r>
            <w:r/>
          </w:p>
        </w:tc>
      </w:tr>
      <w:tr>
        <w:tblPrEx/>
        <w:trPr/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утвержденный проект межевания территории (в случае образования земельного участка не по схеме расположения на кадастровом плане территории, а по проекту межевания территории)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=&gt;Почта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решение о предварительном согласовании предоставления земельного участка (если ранее заявитель обращался за предварительным согласованием предоставления испрашиваемого земельного участка)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r>
              <w:rPr>
                <w:b/>
                <w:color w:val="000000" w:themeColor="text1"/>
                <w:sz w:val="20"/>
              </w:rPr>
              <w:t xml:space="preserve">              К (п) </w:t>
            </w:r>
            <w:r>
              <w:rPr>
                <w:b/>
                <w:color w:val="000000" w:themeColor="text1"/>
                <w:sz w:val="20"/>
              </w:rPr>
              <w:t xml:space="preserve">=&gt;Почта</w:t>
            </w:r>
            <w:r>
              <w:rPr>
                <w:b/>
                <w:color w:val="000000" w:themeColor="text1"/>
              </w:rPr>
            </w:r>
            <w:r/>
          </w:p>
        </w:tc>
      </w:tr>
      <w:tr>
        <w:tblPrEx/>
        <w:trPr/>
        <w:tc>
          <w:tcPr>
            <w:tcW w:w="64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625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1А-2А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color w:val="000000" w:themeColor="text1"/>
                <w:sz w:val="20"/>
                <w:highlight w:val="none"/>
              </w:rPr>
              <w:t xml:space="preserve">1Б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978" w:type="dxa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9"/>
              </w:rPr>
              <w:t xml:space="preserve">выписка из ЕГРН об объекте недвижимости (об испрашиваемом земельном участке)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=&gt;ОГВ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=&gt;Почта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 (п) 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СОД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</w:tbl>
    <w:p>
      <w:pPr>
        <w:pStyle w:val="1005"/>
        <w:numPr>
          <w:ilvl w:val="0"/>
          <w:numId w:val="74"/>
        </w:num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Исчерпывающий перечень оснований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br/>
        <w:t xml:space="preserve">для отказа в приеме заявления и документов, необходимых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br/>
        <w:t xml:space="preserve">для предоставления Услуги, оснований для приостановления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br/>
        <w:t xml:space="preserve">предоставления Услуги или отказа в предоставлении Услуги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3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5000" w:type="pct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7239"/>
        <w:gridCol w:w="2704"/>
      </w:tblGrid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23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не представлен документ, удостоверяющий личность заявителя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0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1А-2А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не представлен документ, подтверждающий полномочия представителя заявителя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1Б</w:t>
            </w: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23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</w:t>
            </w:r>
            <w:r>
              <w:rPr>
                <w:color w:val="000000" w:themeColor="text1"/>
                <w:sz w:val="20"/>
              </w:rPr>
              <w:t xml:space="preserve">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0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</w:rPr>
            </w:r>
            <w:r>
              <w:rPr>
                <w:b/>
                <w:bCs/>
                <w:color w:val="000000" w:themeColor="text1"/>
                <w:sz w:val="20"/>
              </w:rPr>
              <w:t xml:space="preserve">1А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highlight w:val="none"/>
              </w:rPr>
              <w:t xml:space="preserve">1Б</w:t>
            </w:r>
            <w:r>
              <w:rPr>
                <w:b/>
                <w:bCs/>
                <w:color w:val="000000" w:themeColor="text1"/>
                <w:sz w:val="20"/>
                <w:highlight w:val="none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994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color w:val="000000" w:themeColor="text1"/>
                <w:sz w:val="20"/>
              </w:rPr>
              <w:t xml:space="preserve">при обращении за предварительным согласованием предоставления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W w:w="7239" w:type="dxa"/>
            <w:vMerge w:val="restart"/>
            <w:textDirection w:val="lrTb"/>
            <w:noWrap w:val="false"/>
          </w:tcPr>
          <w:p>
            <w:pPr>
              <w:jc w:val="lef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 w:val="0"/>
                <w:bCs w:val="0"/>
                <w:color w:val="000000" w:themeColor="text1"/>
                <w:sz w:val="20"/>
              </w:rPr>
              <w:t xml:space="preserve"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shd w:val="clear" w:color="ffffff" w:themeColor="background1" w:fill="ffffff" w:themeFill="background1"/>
            <w:tcW w:w="270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1</w:t>
            </w:r>
            <w:r>
              <w:rPr>
                <w:b/>
                <w:bCs/>
                <w:color w:val="000000" w:themeColor="text1"/>
                <w:sz w:val="20"/>
              </w:rPr>
              <w:t xml:space="preserve">А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000000" w:themeColor="text1"/>
                <w:sz w:val="20"/>
                <w:highlight w:val="none"/>
              </w:rPr>
              <w:t xml:space="preserve">1Б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W w:w="7239" w:type="dxa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 w:themeColor="text1"/>
                <w:sz w:val="20"/>
              </w:rPr>
            </w:pPr>
            <w:r>
              <w:rPr>
                <w:b w:val="0"/>
                <w:bCs w:val="0"/>
                <w:color w:val="000000" w:themeColor="text1"/>
                <w:sz w:val="20"/>
              </w:rPr>
            </w:r>
            <w:r>
              <w:rPr>
                <w:b w:val="0"/>
                <w:bCs w:val="0"/>
                <w:color w:val="000000" w:themeColor="text1"/>
                <w:sz w:val="20"/>
              </w:rPr>
              <w:t xml:space="preserve">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Российской Федерации</w:t>
            </w:r>
            <w:r>
              <w:rPr>
                <w:b w:val="0"/>
                <w:bCs w:val="0"/>
                <w:color w:val="000000" w:themeColor="text1"/>
                <w:sz w:val="20"/>
              </w:rPr>
            </w:r>
            <w:r>
              <w:rPr>
                <w:b w:val="0"/>
                <w:bCs w:val="0"/>
                <w:color w:val="000000" w:themeColor="text1"/>
                <w:sz w:val="20"/>
              </w:rPr>
            </w:r>
          </w:p>
        </w:tc>
        <w:tc>
          <w:tcPr>
            <w:shd w:val="clear" w:color="ffffff" w:themeColor="background1" w:fill="ffffff" w:themeFill="background1"/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ffffff" w:themeColor="background1" w:fill="ffffff" w:themeFill="background1"/>
            <w:tcW w:w="7239" w:type="dxa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з</w:t>
            </w:r>
            <w:r>
              <w:rPr>
                <w:b w:val="0"/>
                <w:bCs w:val="0"/>
                <w:color w:val="000000" w:themeColor="text1"/>
                <w:sz w:val="20"/>
              </w:rPr>
              <w:t xml:space="preserve">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статьи 39.16 Земельного кодекса Росси</w:t>
            </w:r>
            <w:r>
              <w:rPr>
                <w:b w:val="0"/>
                <w:bCs w:val="0"/>
                <w:color w:val="000000" w:themeColor="text1"/>
                <w:sz w:val="20"/>
              </w:rPr>
              <w:t xml:space="preserve">йской Федерации</w:t>
            </w:r>
            <w:r>
              <w:rPr>
                <w:b w:val="0"/>
                <w:bCs w:val="0"/>
                <w:color w:val="000000" w:themeColor="text1"/>
                <w:sz w:val="20"/>
              </w:rPr>
            </w:r>
            <w:r>
              <w:rPr>
                <w:b w:val="0"/>
                <w:bCs w:val="0"/>
                <w:color w:val="000000" w:themeColor="text1"/>
                <w:sz w:val="20"/>
              </w:rPr>
            </w:r>
          </w:p>
        </w:tc>
        <w:tc>
          <w:tcPr>
            <w:shd w:val="clear" w:color="ffffff" w:themeColor="background1" w:fill="ffffff" w:themeFill="background1"/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shd w:val="clear" w:color="ffffff" w:fill="d9e1f2"/>
            <w:tcW w:w="994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b/>
                <w:color w:val="000000" w:themeColor="text1"/>
                <w:sz w:val="20"/>
              </w:rPr>
              <w:t xml:space="preserve"> при обращении за  предоставлением земельного участка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tcW w:w="723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0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2А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000000" w:themeColor="text1"/>
                <w:sz w:val="20"/>
                <w:highlight w:val="none"/>
              </w:rPr>
              <w:t xml:space="preserve">1Б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</w:tr>
      <w:tr>
        <w:tblPrEx/>
        <w:trPr/>
        <w:tc>
          <w:tcPr>
            <w:tcW w:w="723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</w:t>
            </w:r>
            <w:r>
              <w:rPr>
                <w:color w:val="000000" w:themeColor="text1"/>
                <w:sz w:val="20"/>
              </w:rPr>
              <w:t xml:space="preserve">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39.10 Земельного Кодекса Российской Федерации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</w:t>
            </w:r>
            <w:r>
              <w:rPr>
                <w:color w:val="000000" w:themeColor="text1"/>
                <w:sz w:val="20"/>
              </w:rPr>
              <w:t xml:space="preserve">л</w:t>
            </w:r>
            <w:r>
              <w:rPr>
                <w:color w:val="000000" w:themeColor="text1"/>
                <w:sz w:val="20"/>
              </w:rPr>
              <w:t xml:space="preserve">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</w:t>
            </w:r>
            <w:r>
              <w:rPr>
                <w:color w:val="000000" w:themeColor="text1"/>
                <w:sz w:val="20"/>
              </w:rPr>
              <w:t xml:space="preserve">ч</w:t>
            </w:r>
            <w:r>
              <w:rPr>
                <w:color w:val="000000" w:themeColor="text1"/>
                <w:sz w:val="20"/>
              </w:rPr>
              <w:t xml:space="preserve">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Земельного Кодекса Российской Федерации (если такой земельный уч</w:t>
            </w:r>
            <w:r>
              <w:rPr>
                <w:color w:val="000000" w:themeColor="text1"/>
                <w:sz w:val="20"/>
              </w:rPr>
              <w:t xml:space="preserve">а</w:t>
            </w:r>
            <w:r>
              <w:rPr>
                <w:color w:val="000000" w:themeColor="text1"/>
                <w:sz w:val="20"/>
              </w:rPr>
              <w:t xml:space="preserve">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</w:t>
            </w:r>
            <w:r>
              <w:rPr>
                <w:color w:val="000000" w:themeColor="text1"/>
                <w:sz w:val="20"/>
              </w:rPr>
              <w:t xml:space="preserve">я)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</w:t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 Российской Федерации, либо с</w:t>
            </w:r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</w:t>
            </w:r>
            <w:r>
              <w:rPr>
                <w:color w:val="000000" w:themeColor="text1"/>
                <w:sz w:val="20"/>
              </w:rPr>
              <w:t xml:space="preserve">х</w:t>
            </w:r>
            <w:r>
              <w:rPr>
                <w:color w:val="000000" w:themeColor="text1"/>
                <w:sz w:val="20"/>
              </w:rPr>
              <w:t xml:space="preserve">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</w:t>
            </w:r>
            <w:r>
              <w:rPr>
                <w:color w:val="000000" w:themeColor="text1"/>
                <w:sz w:val="20"/>
              </w:rPr>
              <w:t xml:space="preserve">ениями, не выполнены обязанности, предусмотренные частью 11 статьи 55.32 Градостроительного кодекса Российской Федерации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</w:t>
            </w:r>
            <w:r>
              <w:rPr>
                <w:color w:val="000000" w:themeColor="text1"/>
                <w:sz w:val="20"/>
              </w:rPr>
              <w:t xml:space="preserve">ч</w:t>
            </w:r>
            <w:r>
              <w:rPr>
                <w:color w:val="000000" w:themeColor="text1"/>
                <w:sz w:val="20"/>
              </w:rPr>
              <w:t xml:space="preserve">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 Российской Ф</w:t>
            </w:r>
            <w:r>
              <w:rPr>
                <w:color w:val="000000" w:themeColor="text1"/>
                <w:sz w:val="20"/>
              </w:rPr>
              <w:t xml:space="preserve">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</w:t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</w:t>
            </w:r>
            <w:r>
              <w:rPr>
                <w:color w:val="000000" w:themeColor="text1"/>
                <w:sz w:val="20"/>
              </w:rPr>
              <w:t xml:space="preserve"> целей резервирования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</w:t>
            </w:r>
            <w:r>
              <w:rPr>
                <w:color w:val="000000" w:themeColor="text1"/>
                <w:sz w:val="20"/>
              </w:rPr>
              <w:t xml:space="preserve">с</w:t>
            </w:r>
            <w:r>
              <w:rPr>
                <w:color w:val="000000" w:themeColor="text1"/>
                <w:sz w:val="20"/>
              </w:rPr>
              <w:t xml:space="preserve">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</w:t>
            </w:r>
            <w:r>
              <w:rPr>
                <w:color w:val="000000" w:themeColor="text1"/>
                <w:sz w:val="20"/>
              </w:rPr>
              <w:t xml:space="preserve">ршенного строительства, расположенных на таком земельном участке, или правообладатель такого земельного участка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</w:t>
            </w:r>
            <w:r>
              <w:rPr>
                <w:color w:val="000000" w:themeColor="text1"/>
                <w:sz w:val="20"/>
              </w:rPr>
              <w:t xml:space="preserve">с</w:t>
            </w:r>
            <w:r>
              <w:rPr>
                <w:color w:val="000000" w:themeColor="text1"/>
                <w:sz w:val="20"/>
              </w:rPr>
              <w:t xml:space="preserve">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</w:t>
            </w:r>
            <w:r>
              <w:rPr>
                <w:color w:val="000000" w:themeColor="text1"/>
                <w:sz w:val="20"/>
              </w:rPr>
              <w:t xml:space="preserve">ч</w:t>
            </w:r>
            <w:r>
              <w:rPr>
                <w:color w:val="000000" w:themeColor="text1"/>
                <w:sz w:val="20"/>
              </w:rPr>
              <w:t xml:space="preserve">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</w:t>
            </w:r>
            <w:r>
              <w:rPr>
                <w:color w:val="000000" w:themeColor="text1"/>
                <w:sz w:val="20"/>
              </w:rPr>
              <w:t xml:space="preserve"> на строительство указанных объектов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 территории, либо расположен в границах территории, в отношении которой принято реше</w:t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</w:t>
            </w:r>
            <w:r>
              <w:rPr>
                <w:color w:val="000000" w:themeColor="text1"/>
                <w:sz w:val="20"/>
              </w:rPr>
              <w:t xml:space="preserve">д</w:t>
            </w:r>
            <w:r>
              <w:rPr>
                <w:color w:val="000000" w:themeColor="text1"/>
                <w:sz w:val="20"/>
              </w:rPr>
              <w:t xml:space="preserve">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 территории, преду</w:t>
            </w:r>
            <w:r>
              <w:rPr>
                <w:color w:val="000000" w:themeColor="text1"/>
                <w:sz w:val="20"/>
              </w:rPr>
              <w:t xml:space="preserve">сматривающий обязательство данного лица по строительству указанных объектов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в отношении земельного участка, указанного в заявлении о его предоставлении,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</w:t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</w:t>
            </w:r>
            <w:r>
              <w:rPr>
                <w:color w:val="000000" w:themeColor="text1"/>
                <w:sz w:val="20"/>
              </w:rPr>
              <w:t xml:space="preserve">аниям, предусмотренным пунктом 8 статьи 39.11 Земельного Кодекса Российской Федерации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в отношении земельного участка, указанного в заявлении о его предоставлении,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</w:t>
            </w:r>
            <w:r>
              <w:rPr>
                <w:color w:val="000000" w:themeColor="text1"/>
                <w:sz w:val="20"/>
              </w:rPr>
              <w:t xml:space="preserve"> строительства, ведения личного подсобного хозяйства в границах населенных пунктов, ведения гражданами садоводства для собственных нужд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</w:t>
            </w:r>
            <w:r>
              <w:rPr>
                <w:color w:val="000000" w:themeColor="text1"/>
                <w:sz w:val="20"/>
              </w:rPr>
              <w:t xml:space="preserve">и</w:t>
            </w:r>
            <w:r>
              <w:rPr>
                <w:color w:val="000000" w:themeColor="text1"/>
                <w:sz w:val="20"/>
              </w:rPr>
              <w:t xml:space="preserve">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</w:t>
            </w:r>
            <w:r>
              <w:rPr>
                <w:color w:val="000000" w:themeColor="text1"/>
                <w:sz w:val="20"/>
              </w:rPr>
              <w:t xml:space="preserve">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</w:t>
            </w:r>
            <w:r>
              <w:rPr>
                <w:color w:val="000000" w:themeColor="text1"/>
                <w:sz w:val="20"/>
              </w:rPr>
              <w:t xml:space="preserve">использования такого земельного участка, указанными в заявлении о предоставлении земельного участк</w:t>
            </w:r>
            <w:r>
              <w:rPr>
                <w:color w:val="000000" w:themeColor="text1"/>
                <w:sz w:val="20"/>
              </w:rPr>
              <w:t xml:space="preserve">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</w:t>
            </w:r>
            <w:r>
              <w:rPr>
                <w:color w:val="000000" w:themeColor="text1"/>
                <w:sz w:val="20"/>
              </w:rPr>
              <w:t xml:space="preserve">ли подано заявление о предоставлении земельного участка в соответствии с подпунктом 10 пункта 2 статьи 39.10 Земельного Кодекса Российской Федерации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Земельного Кодекса Российской Федерации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</w:t>
            </w:r>
            <w:r>
              <w:rPr>
                <w:color w:val="000000" w:themeColor="text1"/>
                <w:sz w:val="20"/>
              </w:rPr>
              <w:t xml:space="preserve">н</w:t>
            </w:r>
            <w:r>
              <w:rPr>
                <w:color w:val="000000" w:themeColor="text1"/>
                <w:sz w:val="20"/>
              </w:rPr>
              <w:t xml:space="preserve">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</w:t>
            </w:r>
            <w:r>
              <w:rPr>
                <w:color w:val="000000" w:themeColor="text1"/>
                <w:sz w:val="20"/>
              </w:rPr>
              <w:t xml:space="preserve">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</w:t>
            </w:r>
            <w:r>
              <w:rPr>
                <w:color w:val="000000" w:themeColor="text1"/>
                <w:sz w:val="20"/>
              </w:rPr>
              <w:t xml:space="preserve">л</w:t>
            </w:r>
            <w:r>
              <w:rPr>
                <w:color w:val="000000" w:themeColor="text1"/>
                <w:sz w:val="20"/>
              </w:rPr>
              <w:t xml:space="preserve">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</w:t>
            </w:r>
            <w:r>
              <w:rPr>
                <w:color w:val="000000" w:themeColor="text1"/>
                <w:sz w:val="20"/>
              </w:rPr>
              <w:t xml:space="preserve">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предоставление земельного участка на заявленном виде прав не допускается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в отношении земельного участка, указанного в заявлении о его предоставлении, не установлен вид разрешенного использования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указанный в заявлении о предоставлении земельного участка земельный участок не отнесен к определенной категории земель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в </w:t>
            </w:r>
            <w:r>
              <w:rPr>
                <w:color w:val="000000" w:themeColor="text1"/>
                <w:sz w:val="20"/>
              </w:rPr>
              <w:t xml:space="preserve">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</w:t>
            </w:r>
            <w:r>
              <w:rPr>
                <w:color w:val="000000" w:themeColor="text1"/>
                <w:sz w:val="20"/>
              </w:rPr>
              <w:t xml:space="preserve"> этом решении лицо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у</w:t>
            </w:r>
            <w:r>
              <w:rPr>
                <w:color w:val="000000" w:themeColor="text1"/>
                <w:sz w:val="20"/>
              </w:rPr>
              <w:t xml:space="preserve">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</w:t>
            </w:r>
            <w:r>
              <w:rPr>
                <w:color w:val="000000" w:themeColor="text1"/>
                <w:sz w:val="20"/>
              </w:rPr>
              <w:t xml:space="preserve">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границы земельного участка, указанного в заявлении о его предоставлении, подлежат уточнению в соответствии с Федеральным законом «О государственной регистрации недвижимости»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п</w:t>
            </w:r>
            <w:r>
              <w:rPr>
                <w:color w:val="000000" w:themeColor="text1"/>
                <w:sz w:val="20"/>
              </w:rPr>
              <w:t xml:space="preserve">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</w:t>
            </w:r>
            <w:r>
              <w:rPr>
                <w:color w:val="000000" w:themeColor="text1"/>
                <w:sz w:val="20"/>
              </w:rPr>
              <w:t xml:space="preserve">ельный участок образован, более чем на десять процентов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7239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  <w:t xml:space="preserve"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</w:t>
            </w:r>
            <w:r>
              <w:rPr>
                <w:color w:val="000000" w:themeColor="text1"/>
                <w:sz w:val="20"/>
              </w:rPr>
              <w:t xml:space="preserve">п</w:t>
            </w:r>
            <w:r>
              <w:rPr>
                <w:color w:val="000000" w:themeColor="text1"/>
                <w:sz w:val="20"/>
              </w:rPr>
              <w:t xml:space="preserve">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частью 3 статьи 14 указанного Федерального за</w:t>
            </w:r>
            <w:r>
              <w:rPr>
                <w:color w:val="000000" w:themeColor="text1"/>
                <w:sz w:val="20"/>
              </w:rPr>
              <w:t xml:space="preserve">кона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2704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21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  <w:t xml:space="preserve">V.</w:t>
        <w:tab/>
        <w:t xml:space="preserve">Примерная форма заявления о предоставлении Услуги и согласия на обработку персональных данных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center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righ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Форма заявления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righ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департамент имущества и земельных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отношений Новосибирской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(ФИО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, реквизиты паспорта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ов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для физических лиц; наименование ЮЛ для юридических лиц)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</w:rPr>
        <w:t xml:space="preserve">ИНН или ОГРН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для юридических лиц)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 xml:space="preserve">____________________________________________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 жительства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для физических лиц)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Почтовый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адрес:_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эл.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почты:_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3969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Заявление о предоставлении земельного участка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(выбрать из ст. 39.15 или ст. 39.17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Земельного кодекса РФ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просим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предварительно согласовать предоставление или предоставить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земельный участок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 кадастровым номером (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t xml:space="preserve">кадастровый квартал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</w:t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расположенный 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площадью ______________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цель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использования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основание предоставления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выбрать из числа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пп. 10 п. 2 ст. 39.3, пп. 15 п. 2 ст. 39.6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Земельного кодекса РФ)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Реквизиты решения об утверждении проекта межевания территории 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  <w:t xml:space="preserve">(при наличии)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(аренда или собственность) 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Способ получения результата предоставления государственной услуги: 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копии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, подтв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ерждающих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право заявителей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на приобретение земельного участка без проведения торгов в собственность бесплатно);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(копии документов, уд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остоверяющих личность заявителей или полномочия представителя)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;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(копии иных документов (при необходимости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«_____» ____________ 20___ г.____________    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spacing w:after="0" w:line="20" w:lineRule="atLeast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       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подпись)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(инициалы, фамилия)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center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Форма согласия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СОГЛАСИЕ</w:t>
      </w:r>
      <w:r>
        <w:rPr>
          <w:b w:val="0"/>
          <w:bCs w:val="0"/>
          <w:sz w:val="24"/>
          <w:szCs w:val="24"/>
        </w:rPr>
        <w:br/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субъекта персональных данных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на обработку его персональных данных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 серия _______ номер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 </w:t>
      </w:r>
      <w:r>
        <w:rPr>
          <w:rFonts w:hAnsi="Times New Roman" w:cs="Times New Roman"/>
          <w:color w:val="000000"/>
          <w:sz w:val="24"/>
          <w:szCs w:val="24"/>
        </w:rPr>
        <w:t xml:space="preserve">выдан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департаменту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 xml:space="preserve"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</w:t>
      </w:r>
      <w:r>
        <w:rPr>
          <w:rFonts w:hAnsi="Times New Roman" w:cs="Times New Roman"/>
          <w:color w:val="000000"/>
          <w:sz w:val="24"/>
          <w:szCs w:val="24"/>
        </w:rPr>
        <w:t xml:space="preserve">(далее – Закон РФ)</w:t>
      </w:r>
      <w:r>
        <w:rPr>
          <w:rFonts w:hAnsi="Times New Roman" w:cs="Times New Roman"/>
          <w:color w:val="000000"/>
          <w:sz w:val="24"/>
          <w:szCs w:val="24"/>
        </w:rPr>
        <w:t xml:space="preserve"> на обработку моих персональных данных, а именно на совершение действий, предусмотренных </w:t>
      </w:r>
      <w:r>
        <w:rPr>
          <w:rFonts w:hAnsi="Times New Roman" w:cs="Times New Roman"/>
          <w:color w:val="000000"/>
          <w:sz w:val="24"/>
          <w:szCs w:val="24"/>
        </w:rPr>
        <w:t xml:space="preserve">пунктом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 Закона РФ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департаментом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 xml:space="preserve">оказание  государственной услуги / рассмотрение </w:t>
      </w:r>
      <w:r>
        <w:rPr>
          <w:rFonts w:hAnsi="Times New Roman" w:cs="Times New Roman"/>
          <w:color w:val="000000"/>
          <w:sz w:val="24"/>
          <w:szCs w:val="24"/>
        </w:rPr>
        <w:t xml:space="preserve">обращения (нужное подчеркнуть)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РФ.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Субъект персональных данных: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(подпись)                                      (Ф. И. О.)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center"/>
        <w:rPr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</w:t>
      </w:r>
      <w:r>
        <w:rPr>
          <w:rFonts w:hAnsi="Times New Roman" w:cs="Times New Roman"/>
          <w:color w:val="000000"/>
          <w:sz w:val="24"/>
          <w:szCs w:val="24"/>
        </w:rPr>
        <w:t xml:space="preserve">_____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20____  г.</w:t>
      </w:r>
      <w:r>
        <w:rPr>
          <w:color w:val="000000"/>
          <w:sz w:val="24"/>
          <w:szCs w:val="24"/>
          <w:highlight w:val="none"/>
        </w:rPr>
        <w:t xml:space="preserve"> 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7" w:h="16840" w:orient="portrait"/>
      <w:pgMar w:top="567" w:right="567" w:bottom="1106" w:left="1417" w:header="709" w:footer="212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Light">
    <w:panose1 w:val="02000603000000000000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3"/>
    </w:pPr>
    <w:r>
      <w:rPr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3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210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3"/>
      <w:jc w:val="center"/>
    </w:pPr>
    <w:fldSimple w:instr="PAGE \* MERGEFORMAT">
      <w:r>
        <w:t xml:space="preserve">1</w:t>
      </w:r>
    </w:fldSimple>
    <w:r/>
    <w:r/>
  </w:p>
  <w:p>
    <w:pPr>
      <w:pStyle w:val="10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1"/>
      <w:jc w:val="center"/>
      <w:rPr>
        <w:lang w:val="en-US"/>
      </w:rPr>
    </w:pPr>
    <w:r/>
    <w:r>
      <w:rPr>
        <w:lang w:val="en-US"/>
      </w:rPr>
    </w:r>
    <w:r>
      <w:rPr>
        <w:lang w:val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73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5">
    <w:name w:val="Heading 1"/>
    <w:basedOn w:val="1183"/>
    <w:next w:val="1183"/>
    <w:link w:val="100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006">
    <w:name w:val="Heading 1 Char"/>
    <w:link w:val="1005"/>
    <w:uiPriority w:val="9"/>
    <w:rPr>
      <w:rFonts w:ascii="Arial" w:hAnsi="Arial" w:eastAsia="Arial" w:cs="Arial"/>
      <w:sz w:val="40"/>
      <w:szCs w:val="40"/>
    </w:rPr>
  </w:style>
  <w:style w:type="paragraph" w:styleId="1007">
    <w:name w:val="Heading 2"/>
    <w:basedOn w:val="1183"/>
    <w:next w:val="1183"/>
    <w:link w:val="10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008">
    <w:name w:val="Heading 2 Char"/>
    <w:link w:val="1007"/>
    <w:uiPriority w:val="9"/>
    <w:rPr>
      <w:rFonts w:ascii="Arial" w:hAnsi="Arial" w:eastAsia="Arial" w:cs="Arial"/>
      <w:sz w:val="34"/>
    </w:rPr>
  </w:style>
  <w:style w:type="paragraph" w:styleId="1009">
    <w:name w:val="Heading 3"/>
    <w:basedOn w:val="1183"/>
    <w:next w:val="1183"/>
    <w:link w:val="10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010">
    <w:name w:val="Heading 3 Char"/>
    <w:link w:val="1009"/>
    <w:uiPriority w:val="9"/>
    <w:rPr>
      <w:rFonts w:ascii="Arial" w:hAnsi="Arial" w:eastAsia="Arial" w:cs="Arial"/>
      <w:sz w:val="30"/>
      <w:szCs w:val="30"/>
    </w:rPr>
  </w:style>
  <w:style w:type="paragraph" w:styleId="1011">
    <w:name w:val="Heading 4"/>
    <w:basedOn w:val="1183"/>
    <w:next w:val="1183"/>
    <w:link w:val="10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012">
    <w:name w:val="Heading 4 Char"/>
    <w:link w:val="1011"/>
    <w:uiPriority w:val="9"/>
    <w:rPr>
      <w:rFonts w:ascii="Arial" w:hAnsi="Arial" w:eastAsia="Arial" w:cs="Arial"/>
      <w:b/>
      <w:bCs/>
      <w:sz w:val="26"/>
      <w:szCs w:val="26"/>
    </w:rPr>
  </w:style>
  <w:style w:type="paragraph" w:styleId="1013">
    <w:name w:val="Heading 5"/>
    <w:basedOn w:val="1183"/>
    <w:next w:val="1183"/>
    <w:link w:val="10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014">
    <w:name w:val="Heading 5 Char"/>
    <w:link w:val="1013"/>
    <w:uiPriority w:val="9"/>
    <w:rPr>
      <w:rFonts w:ascii="Arial" w:hAnsi="Arial" w:eastAsia="Arial" w:cs="Arial"/>
      <w:b/>
      <w:bCs/>
      <w:sz w:val="24"/>
      <w:szCs w:val="24"/>
    </w:rPr>
  </w:style>
  <w:style w:type="paragraph" w:styleId="1015">
    <w:name w:val="Heading 6"/>
    <w:basedOn w:val="1183"/>
    <w:next w:val="1183"/>
    <w:link w:val="10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016">
    <w:name w:val="Heading 6 Char"/>
    <w:link w:val="1015"/>
    <w:uiPriority w:val="9"/>
    <w:rPr>
      <w:rFonts w:ascii="Arial" w:hAnsi="Arial" w:eastAsia="Arial" w:cs="Arial"/>
      <w:b/>
      <w:bCs/>
      <w:sz w:val="22"/>
      <w:szCs w:val="22"/>
    </w:rPr>
  </w:style>
  <w:style w:type="paragraph" w:styleId="1017">
    <w:name w:val="Heading 7"/>
    <w:basedOn w:val="1183"/>
    <w:next w:val="1183"/>
    <w:link w:val="10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018">
    <w:name w:val="Heading 7 Char"/>
    <w:link w:val="10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019">
    <w:name w:val="Heading 8"/>
    <w:basedOn w:val="1183"/>
    <w:next w:val="1183"/>
    <w:link w:val="10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020">
    <w:name w:val="Heading 8 Char"/>
    <w:link w:val="1019"/>
    <w:uiPriority w:val="9"/>
    <w:rPr>
      <w:rFonts w:ascii="Arial" w:hAnsi="Arial" w:eastAsia="Arial" w:cs="Arial"/>
      <w:i/>
      <w:iCs/>
      <w:sz w:val="22"/>
      <w:szCs w:val="22"/>
    </w:rPr>
  </w:style>
  <w:style w:type="paragraph" w:styleId="1021">
    <w:name w:val="Heading 9"/>
    <w:basedOn w:val="1183"/>
    <w:next w:val="1183"/>
    <w:link w:val="10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22">
    <w:name w:val="Heading 9 Char"/>
    <w:link w:val="1021"/>
    <w:uiPriority w:val="9"/>
    <w:rPr>
      <w:rFonts w:ascii="Arial" w:hAnsi="Arial" w:eastAsia="Arial" w:cs="Arial"/>
      <w:i/>
      <w:iCs/>
      <w:sz w:val="21"/>
      <w:szCs w:val="21"/>
    </w:rPr>
  </w:style>
  <w:style w:type="paragraph" w:styleId="1023">
    <w:name w:val="List Paragraph"/>
    <w:basedOn w:val="1183"/>
    <w:uiPriority w:val="34"/>
    <w:qFormat/>
    <w:pPr>
      <w:contextualSpacing/>
      <w:ind w:left="720"/>
    </w:pPr>
  </w:style>
  <w:style w:type="paragraph" w:styleId="1024">
    <w:name w:val="No Spacing"/>
    <w:uiPriority w:val="1"/>
    <w:qFormat/>
    <w:pPr>
      <w:spacing w:before="0" w:after="0" w:line="240" w:lineRule="auto"/>
    </w:pPr>
  </w:style>
  <w:style w:type="paragraph" w:styleId="1025">
    <w:name w:val="Title"/>
    <w:basedOn w:val="1183"/>
    <w:next w:val="1183"/>
    <w:link w:val="10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26">
    <w:name w:val="Title Char"/>
    <w:link w:val="1025"/>
    <w:uiPriority w:val="10"/>
    <w:rPr>
      <w:sz w:val="48"/>
      <w:szCs w:val="48"/>
    </w:rPr>
  </w:style>
  <w:style w:type="paragraph" w:styleId="1027">
    <w:name w:val="Subtitle"/>
    <w:basedOn w:val="1183"/>
    <w:next w:val="1183"/>
    <w:link w:val="1028"/>
    <w:uiPriority w:val="11"/>
    <w:qFormat/>
    <w:pPr>
      <w:spacing w:before="200" w:after="200"/>
    </w:pPr>
    <w:rPr>
      <w:sz w:val="24"/>
      <w:szCs w:val="24"/>
    </w:rPr>
  </w:style>
  <w:style w:type="character" w:styleId="1028">
    <w:name w:val="Subtitle Char"/>
    <w:link w:val="1027"/>
    <w:uiPriority w:val="11"/>
    <w:rPr>
      <w:sz w:val="24"/>
      <w:szCs w:val="24"/>
    </w:rPr>
  </w:style>
  <w:style w:type="paragraph" w:styleId="1029">
    <w:name w:val="Quote"/>
    <w:basedOn w:val="1183"/>
    <w:next w:val="1183"/>
    <w:link w:val="1030"/>
    <w:uiPriority w:val="29"/>
    <w:qFormat/>
    <w:pPr>
      <w:ind w:left="720" w:right="720"/>
    </w:pPr>
    <w:rPr>
      <w:i/>
    </w:rPr>
  </w:style>
  <w:style w:type="character" w:styleId="1030">
    <w:name w:val="Quote Char"/>
    <w:link w:val="1029"/>
    <w:uiPriority w:val="29"/>
    <w:rPr>
      <w:i/>
    </w:rPr>
  </w:style>
  <w:style w:type="paragraph" w:styleId="1031">
    <w:name w:val="Intense Quote"/>
    <w:basedOn w:val="1183"/>
    <w:next w:val="1183"/>
    <w:link w:val="10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32">
    <w:name w:val="Intense Quote Char"/>
    <w:link w:val="1031"/>
    <w:uiPriority w:val="30"/>
    <w:rPr>
      <w:i/>
    </w:rPr>
  </w:style>
  <w:style w:type="paragraph" w:styleId="1033">
    <w:name w:val="Header"/>
    <w:basedOn w:val="1183"/>
    <w:link w:val="10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34">
    <w:name w:val="Header Char"/>
    <w:link w:val="1033"/>
    <w:uiPriority w:val="99"/>
  </w:style>
  <w:style w:type="paragraph" w:styleId="1035">
    <w:name w:val="Footer"/>
    <w:basedOn w:val="1183"/>
    <w:link w:val="10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36">
    <w:name w:val="Footer Char"/>
    <w:link w:val="1035"/>
    <w:uiPriority w:val="99"/>
  </w:style>
  <w:style w:type="paragraph" w:styleId="1037">
    <w:name w:val="Caption"/>
    <w:basedOn w:val="1183"/>
    <w:next w:val="1183"/>
    <w:link w:val="10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38">
    <w:name w:val="Caption Char"/>
    <w:basedOn w:val="1037"/>
    <w:link w:val="1035"/>
    <w:uiPriority w:val="99"/>
  </w:style>
  <w:style w:type="table" w:styleId="103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4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4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4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4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6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6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7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7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7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7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7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7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7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7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7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7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8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8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8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8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8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8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8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8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8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0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0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0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0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0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0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2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3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13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13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13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3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3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3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3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13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13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14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14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14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14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14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4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4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4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4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4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5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5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5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5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5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5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5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5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5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5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6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6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6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6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6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65">
    <w:name w:val="Hyperlink"/>
    <w:uiPriority w:val="99"/>
    <w:unhideWhenUsed/>
    <w:rPr>
      <w:color w:val="0000ff" w:themeColor="hyperlink"/>
      <w:u w:val="single"/>
    </w:rPr>
  </w:style>
  <w:style w:type="paragraph" w:styleId="1166">
    <w:name w:val="footnote text"/>
    <w:basedOn w:val="1183"/>
    <w:link w:val="1167"/>
    <w:uiPriority w:val="99"/>
    <w:semiHidden/>
    <w:unhideWhenUsed/>
    <w:pPr>
      <w:spacing w:after="40" w:line="240" w:lineRule="auto"/>
    </w:pPr>
    <w:rPr>
      <w:sz w:val="18"/>
    </w:rPr>
  </w:style>
  <w:style w:type="character" w:styleId="1167">
    <w:name w:val="Footnote Text Char"/>
    <w:link w:val="1166"/>
    <w:uiPriority w:val="99"/>
    <w:rPr>
      <w:sz w:val="18"/>
    </w:rPr>
  </w:style>
  <w:style w:type="character" w:styleId="1168">
    <w:name w:val="footnote reference"/>
    <w:uiPriority w:val="99"/>
    <w:unhideWhenUsed/>
    <w:rPr>
      <w:vertAlign w:val="superscript"/>
    </w:rPr>
  </w:style>
  <w:style w:type="paragraph" w:styleId="1169">
    <w:name w:val="endnote text"/>
    <w:basedOn w:val="1183"/>
    <w:link w:val="1170"/>
    <w:uiPriority w:val="99"/>
    <w:semiHidden/>
    <w:unhideWhenUsed/>
    <w:pPr>
      <w:spacing w:after="0" w:line="240" w:lineRule="auto"/>
    </w:pPr>
    <w:rPr>
      <w:sz w:val="20"/>
    </w:rPr>
  </w:style>
  <w:style w:type="character" w:styleId="1170">
    <w:name w:val="Endnote Text Char"/>
    <w:link w:val="1169"/>
    <w:uiPriority w:val="99"/>
    <w:rPr>
      <w:sz w:val="20"/>
    </w:rPr>
  </w:style>
  <w:style w:type="character" w:styleId="1171">
    <w:name w:val="endnote reference"/>
    <w:uiPriority w:val="99"/>
    <w:semiHidden/>
    <w:unhideWhenUsed/>
    <w:rPr>
      <w:vertAlign w:val="superscript"/>
    </w:rPr>
  </w:style>
  <w:style w:type="paragraph" w:styleId="1172">
    <w:name w:val="toc 1"/>
    <w:basedOn w:val="1183"/>
    <w:next w:val="1183"/>
    <w:uiPriority w:val="39"/>
    <w:unhideWhenUsed/>
    <w:pPr>
      <w:ind w:left="0" w:right="0" w:firstLine="0"/>
      <w:spacing w:after="57"/>
    </w:pPr>
  </w:style>
  <w:style w:type="paragraph" w:styleId="1173">
    <w:name w:val="toc 2"/>
    <w:basedOn w:val="1183"/>
    <w:next w:val="1183"/>
    <w:uiPriority w:val="39"/>
    <w:unhideWhenUsed/>
    <w:pPr>
      <w:ind w:left="283" w:right="0" w:firstLine="0"/>
      <w:spacing w:after="57"/>
    </w:pPr>
  </w:style>
  <w:style w:type="paragraph" w:styleId="1174">
    <w:name w:val="toc 3"/>
    <w:basedOn w:val="1183"/>
    <w:next w:val="1183"/>
    <w:uiPriority w:val="39"/>
    <w:unhideWhenUsed/>
    <w:pPr>
      <w:ind w:left="567" w:right="0" w:firstLine="0"/>
      <w:spacing w:after="57"/>
    </w:pPr>
  </w:style>
  <w:style w:type="paragraph" w:styleId="1175">
    <w:name w:val="toc 4"/>
    <w:basedOn w:val="1183"/>
    <w:next w:val="1183"/>
    <w:uiPriority w:val="39"/>
    <w:unhideWhenUsed/>
    <w:pPr>
      <w:ind w:left="850" w:right="0" w:firstLine="0"/>
      <w:spacing w:after="57"/>
    </w:pPr>
  </w:style>
  <w:style w:type="paragraph" w:styleId="1176">
    <w:name w:val="toc 5"/>
    <w:basedOn w:val="1183"/>
    <w:next w:val="1183"/>
    <w:uiPriority w:val="39"/>
    <w:unhideWhenUsed/>
    <w:pPr>
      <w:ind w:left="1134" w:right="0" w:firstLine="0"/>
      <w:spacing w:after="57"/>
    </w:pPr>
  </w:style>
  <w:style w:type="paragraph" w:styleId="1177">
    <w:name w:val="toc 6"/>
    <w:basedOn w:val="1183"/>
    <w:next w:val="1183"/>
    <w:uiPriority w:val="39"/>
    <w:unhideWhenUsed/>
    <w:pPr>
      <w:ind w:left="1417" w:right="0" w:firstLine="0"/>
      <w:spacing w:after="57"/>
    </w:pPr>
  </w:style>
  <w:style w:type="paragraph" w:styleId="1178">
    <w:name w:val="toc 7"/>
    <w:basedOn w:val="1183"/>
    <w:next w:val="1183"/>
    <w:uiPriority w:val="39"/>
    <w:unhideWhenUsed/>
    <w:pPr>
      <w:ind w:left="1701" w:right="0" w:firstLine="0"/>
      <w:spacing w:after="57"/>
    </w:pPr>
  </w:style>
  <w:style w:type="paragraph" w:styleId="1179">
    <w:name w:val="toc 8"/>
    <w:basedOn w:val="1183"/>
    <w:next w:val="1183"/>
    <w:uiPriority w:val="39"/>
    <w:unhideWhenUsed/>
    <w:pPr>
      <w:ind w:left="1984" w:right="0" w:firstLine="0"/>
      <w:spacing w:after="57"/>
    </w:pPr>
  </w:style>
  <w:style w:type="paragraph" w:styleId="1180">
    <w:name w:val="toc 9"/>
    <w:basedOn w:val="1183"/>
    <w:next w:val="1183"/>
    <w:uiPriority w:val="39"/>
    <w:unhideWhenUsed/>
    <w:pPr>
      <w:ind w:left="2268" w:right="0" w:firstLine="0"/>
      <w:spacing w:after="57"/>
    </w:pPr>
  </w:style>
  <w:style w:type="paragraph" w:styleId="1181">
    <w:name w:val="TOC Heading"/>
    <w:uiPriority w:val="39"/>
    <w:unhideWhenUsed/>
  </w:style>
  <w:style w:type="paragraph" w:styleId="1182">
    <w:name w:val="table of figures"/>
    <w:basedOn w:val="1183"/>
    <w:next w:val="1183"/>
    <w:uiPriority w:val="99"/>
    <w:unhideWhenUsed/>
    <w:pPr>
      <w:spacing w:after="0" w:afterAutospacing="0"/>
    </w:pPr>
  </w:style>
  <w:style w:type="paragraph" w:styleId="1183" w:default="1">
    <w:name w:val="Normal"/>
    <w:next w:val="1183"/>
    <w:link w:val="1183"/>
    <w:qFormat/>
    <w:rPr>
      <w:sz w:val="24"/>
      <w:szCs w:val="24"/>
      <w:lang w:val="ru-RU" w:eastAsia="ru-RU" w:bidi="ar-SA"/>
    </w:rPr>
  </w:style>
  <w:style w:type="character" w:styleId="1184">
    <w:name w:val="Основной шрифт абзаца"/>
    <w:next w:val="1184"/>
    <w:link w:val="1183"/>
    <w:semiHidden/>
  </w:style>
  <w:style w:type="table" w:styleId="1185">
    <w:name w:val="Обычная таблица"/>
    <w:next w:val="1185"/>
    <w:link w:val="1183"/>
    <w:semiHidden/>
    <w:tblPr/>
  </w:style>
  <w:style w:type="numbering" w:styleId="1186">
    <w:name w:val="Нет списка"/>
    <w:next w:val="1186"/>
    <w:link w:val="1183"/>
    <w:semiHidden/>
  </w:style>
  <w:style w:type="paragraph" w:styleId="1187">
    <w:name w:val="заголовок 4"/>
    <w:basedOn w:val="1183"/>
    <w:next w:val="1183"/>
    <w:link w:val="1183"/>
    <w:pPr>
      <w:jc w:val="center"/>
      <w:keepNext/>
    </w:pPr>
    <w:rPr>
      <w:b/>
      <w:bCs/>
    </w:rPr>
  </w:style>
  <w:style w:type="paragraph" w:styleId="1188">
    <w:name w:val="заголовок 5"/>
    <w:basedOn w:val="1183"/>
    <w:next w:val="1183"/>
    <w:link w:val="1183"/>
    <w:pPr>
      <w:jc w:val="center"/>
      <w:keepNext/>
    </w:pPr>
    <w:rPr>
      <w:sz w:val="24"/>
      <w:szCs w:val="24"/>
    </w:rPr>
  </w:style>
  <w:style w:type="paragraph" w:styleId="1189">
    <w:name w:val="заголовок 6"/>
    <w:basedOn w:val="1183"/>
    <w:next w:val="1183"/>
    <w:link w:val="1183"/>
    <w:pPr>
      <w:jc w:val="center"/>
      <w:keepNext/>
    </w:pPr>
  </w:style>
  <w:style w:type="character" w:styleId="1190">
    <w:name w:val="Основной шрифт"/>
    <w:next w:val="1190"/>
    <w:link w:val="1183"/>
  </w:style>
  <w:style w:type="paragraph" w:styleId="1191">
    <w:name w:val="Верхний колонтитул"/>
    <w:basedOn w:val="1183"/>
    <w:next w:val="1191"/>
    <w:link w:val="1183"/>
    <w:pPr>
      <w:tabs>
        <w:tab w:val="center" w:pos="4153" w:leader="none"/>
        <w:tab w:val="right" w:pos="8306" w:leader="none"/>
      </w:tabs>
    </w:pPr>
  </w:style>
  <w:style w:type="paragraph" w:styleId="1192">
    <w:name w:val="Письмо главы"/>
    <w:basedOn w:val="1183"/>
    <w:next w:val="1192"/>
    <w:link w:val="1183"/>
    <w:pPr>
      <w:ind w:firstLine="709"/>
      <w:jc w:val="both"/>
    </w:pPr>
  </w:style>
  <w:style w:type="paragraph" w:styleId="1193">
    <w:name w:val="Нижний колонтитул"/>
    <w:basedOn w:val="1183"/>
    <w:next w:val="1193"/>
    <w:link w:val="1183"/>
    <w:pPr>
      <w:tabs>
        <w:tab w:val="center" w:pos="4153" w:leader="none"/>
        <w:tab w:val="right" w:pos="8306" w:leader="none"/>
      </w:tabs>
    </w:pPr>
  </w:style>
  <w:style w:type="character" w:styleId="1194">
    <w:name w:val="номер страницы"/>
    <w:basedOn w:val="1190"/>
    <w:next w:val="1194"/>
    <w:link w:val="1183"/>
  </w:style>
  <w:style w:type="paragraph" w:styleId="1195">
    <w:name w:val="Основной текст"/>
    <w:basedOn w:val="1183"/>
    <w:next w:val="1195"/>
    <w:link w:val="1183"/>
    <w:pPr>
      <w:jc w:val="both"/>
    </w:pPr>
    <w:rPr>
      <w:sz w:val="24"/>
      <w:szCs w:val="24"/>
    </w:rPr>
  </w:style>
  <w:style w:type="character" w:styleId="1196">
    <w:name w:val="Гиперссылка"/>
    <w:next w:val="1196"/>
    <w:link w:val="1183"/>
    <w:rPr>
      <w:color w:val="0000ff"/>
      <w:u w:val="single"/>
    </w:rPr>
  </w:style>
  <w:style w:type="paragraph" w:styleId="1197">
    <w:name w:val="Основной текст с отступом"/>
    <w:basedOn w:val="1183"/>
    <w:next w:val="1197"/>
    <w:link w:val="1183"/>
    <w:pPr>
      <w:jc w:val="center"/>
    </w:pPr>
    <w:rPr>
      <w:b/>
      <w:bCs/>
      <w:sz w:val="26"/>
      <w:szCs w:val="26"/>
    </w:rPr>
  </w:style>
  <w:style w:type="paragraph" w:styleId="1198">
    <w:name w:val="Основной текст с отступом 2"/>
    <w:basedOn w:val="1183"/>
    <w:next w:val="1198"/>
    <w:link w:val="1183"/>
    <w:pPr>
      <w:ind w:left="360"/>
      <w:jc w:val="both"/>
    </w:pPr>
  </w:style>
  <w:style w:type="paragraph" w:styleId="1199">
    <w:name w:val="Основной текст 3"/>
    <w:basedOn w:val="1183"/>
    <w:next w:val="1199"/>
    <w:link w:val="1183"/>
    <w:pPr>
      <w:jc w:val="center"/>
    </w:pPr>
    <w:rPr>
      <w:b/>
      <w:bCs/>
    </w:rPr>
  </w:style>
  <w:style w:type="paragraph" w:styleId="1200">
    <w:name w:val="Основной текст с отступом 3"/>
    <w:basedOn w:val="1183"/>
    <w:next w:val="1200"/>
    <w:link w:val="1183"/>
    <w:pPr>
      <w:ind w:left="-142" w:firstLine="851"/>
      <w:jc w:val="both"/>
    </w:pPr>
  </w:style>
  <w:style w:type="character" w:styleId="1201">
    <w:name w:val="Просмотренная гиперссылка"/>
    <w:next w:val="1201"/>
    <w:link w:val="1183"/>
    <w:rPr>
      <w:color w:val="800080"/>
      <w:u w:val="single"/>
    </w:rPr>
  </w:style>
  <w:style w:type="paragraph" w:styleId="1202">
    <w:name w:val="Титул"/>
    <w:next w:val="1202"/>
    <w:link w:val="1183"/>
    <w:pPr>
      <w:jc w:val="center"/>
    </w:pPr>
    <w:rPr>
      <w:sz w:val="28"/>
      <w:szCs w:val="28"/>
      <w:lang w:val="ru-RU" w:eastAsia="ru-RU" w:bidi="ar-SA"/>
    </w:rPr>
  </w:style>
  <w:style w:type="paragraph" w:styleId="1203">
    <w:name w:val="Style4"/>
    <w:basedOn w:val="1183"/>
    <w:next w:val="1203"/>
    <w:link w:val="1183"/>
    <w:pPr>
      <w:widowControl w:val="off"/>
    </w:pPr>
  </w:style>
  <w:style w:type="paragraph" w:styleId="1204">
    <w:name w:val="Текст выноски"/>
    <w:basedOn w:val="1183"/>
    <w:next w:val="1204"/>
    <w:link w:val="1205"/>
    <w:rPr>
      <w:rFonts w:ascii="Tahoma" w:hAnsi="Tahoma" w:cs="Tahoma"/>
      <w:sz w:val="16"/>
      <w:szCs w:val="16"/>
    </w:rPr>
  </w:style>
  <w:style w:type="character" w:styleId="1205">
    <w:name w:val="Текст выноски Знак"/>
    <w:next w:val="1205"/>
    <w:link w:val="1204"/>
    <w:rPr>
      <w:rFonts w:ascii="Tahoma" w:hAnsi="Tahoma" w:cs="Tahoma"/>
      <w:sz w:val="16"/>
      <w:szCs w:val="16"/>
    </w:rPr>
  </w:style>
  <w:style w:type="character" w:styleId="1206" w:default="1">
    <w:name w:val="Default Paragraph Font"/>
    <w:uiPriority w:val="1"/>
    <w:semiHidden/>
    <w:unhideWhenUsed/>
  </w:style>
  <w:style w:type="numbering" w:styleId="1207" w:default="1">
    <w:name w:val="No List"/>
    <w:uiPriority w:val="99"/>
    <w:semiHidden/>
    <w:unhideWhenUsed/>
  </w:style>
  <w:style w:type="table" w:styleId="1208" w:default="1">
    <w:name w:val="Normal Table"/>
    <w:uiPriority w:val="99"/>
    <w:semiHidden/>
    <w:unhideWhenUsed/>
    <w:tblPr/>
  </w:style>
  <w:style w:type="paragraph" w:styleId="1209" w:customStyle="1">
    <w:name w:val="paragraph"/>
    <w:basedOn w:val="1080"/>
    <w:link w:val="1080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10" w:customStyle="1">
    <w:name w:val="Footnote_de1ec88f-7d25-4d34-a4df-31fe14573ec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11" w:customStyle="1">
    <w:name w:val="List Paragraph_4dd90a87-3bcc-4fc6-9eb6-fdc6e79e531e"/>
    <w:basedOn w:val="1124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12" w:customStyle="1">
    <w:name w:val="Normal_04f08c11-a7e5-4803-87fd-8bf8ba8b981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13" w:customStyle="1">
    <w:name w:val="! ТЗ Стиль __ТекстОсн_1и + Times New Roman 12 пт По ширине Первая стр...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60" w:beforeAutospacing="0" w:after="60" w:afterAutospacing="0" w:line="360" w:lineRule="auto"/>
      <w:shd w:val="nil"/>
      <w:widowControl/>
      <w:tabs>
        <w:tab w:val="left" w:pos="851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АНО</Company>
  <DocSecurity>0</DocSecurity>
  <HyperlinksChanged>false</HyperlinksChanged>
  <ScaleCrop>false</ScaleCrop>
  <SharedDoc>false</SharedDoc>
  <Template>Приказ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baa</dc:creator>
  <cp:lastModifiedBy>eei@NSO.LOC</cp:lastModifiedBy>
  <cp:revision>99</cp:revision>
  <dcterms:created xsi:type="dcterms:W3CDTF">2018-10-18T09:47:00Z</dcterms:created>
  <dcterms:modified xsi:type="dcterms:W3CDTF">2026-05-28T09:14:44Z</dcterms:modified>
  <cp:version>1048576</cp:version>
</cp:coreProperties>
</file>