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б антимонопольн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м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комплаенс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департаменте имущества и земельных отношений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202</w:t>
      </w:r>
      <w:r>
        <w:rPr>
          <w:rFonts w:ascii="Times New Roman" w:hAnsi="Times New Roman" w:cs="Times New Roman"/>
          <w:b/>
          <w:sz w:val="28"/>
          <w:szCs w:val="28"/>
        </w:rPr>
        <w:t xml:space="preserve">4 год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Антимонопольный комплаенс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внутренняя система мер, принятая для обеспечения соответствия требованиям антимонопольного законод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ательства. Его основной идеей является то, что орган исполнительной власти сам разрабатывает для себя правила поведения, сам осуществляет контроль за их выполнением. Так за действиями устанавливается двойной антимонопольный контроль — внутренний и внешний.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антимонопольного комплаенса для органов исполнительной власти субъектов Российской Федерации установлено </w:t>
      </w:r>
      <w:r>
        <w:rPr>
          <w:rFonts w:ascii="Times New Roman" w:hAnsi="Times New Roman" w:cs="Times New Roman"/>
          <w:sz w:val="28"/>
          <w:szCs w:val="28"/>
        </w:rPr>
        <w:t xml:space="preserve">Указ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резидента Российской Федерации от 21.12.2017 № 618 «Об основных направлениях государственной политики по развитию конкуренции»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данного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каза департаментом</w:t>
      </w:r>
      <w:r>
        <w:rPr>
          <w:rFonts w:ascii="Times New Roman" w:hAnsi="Times New Roman" w:cs="Times New Roman"/>
          <w:sz w:val="28"/>
          <w:szCs w:val="28"/>
        </w:rPr>
        <w:t xml:space="preserve"> имущества и земельных отношений Новосибирской области (далее – департамент)</w:t>
      </w:r>
      <w:r>
        <w:rPr>
          <w:rFonts w:ascii="Times New Roman" w:hAnsi="Times New Roman" w:cs="Times New Roman"/>
          <w:sz w:val="28"/>
          <w:szCs w:val="28"/>
        </w:rPr>
        <w:t xml:space="preserve"> разработано </w:t>
      </w:r>
      <w:r>
        <w:rPr>
          <w:rFonts w:ascii="Times New Roman" w:hAnsi="Times New Roman" w:cs="Times New Roman"/>
          <w:sz w:val="28"/>
          <w:szCs w:val="28"/>
        </w:rPr>
        <w:t xml:space="preserve">и утверждено приказом от 30.01.2019 № 407 </w:t>
      </w:r>
      <w:r>
        <w:rPr>
          <w:rFonts w:ascii="Times New Roman" w:hAnsi="Times New Roman" w:cs="Times New Roman"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внутреннем контроле соблюдения антимонопольного законодательства.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разработаны и утверждены: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карта рисков нарушения антимонопольного законодательства;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m:oMath>
        <m:r>
          <m:rPr/>
          <w:rPr>
            <w:rFonts w:ascii="Cambria Math" w:hAnsi="Cambria Math" w:cs="Times New Roman"/>
            <w:sz w:val="28"/>
            <w:szCs w:val="28"/>
          </w:rPr>
          <m:t> </m:t>
        </m:r>
      </m:oMath>
      <w:r>
        <w:rPr>
          <w:rFonts w:ascii="Times New Roman" w:hAnsi="Times New Roman" w:cs="Times New Roman"/>
          <w:sz w:val="28"/>
          <w:szCs w:val="28"/>
        </w:rPr>
        <w:t xml:space="preserve">ключевые </w:t>
      </w:r>
      <w:r>
        <w:rPr>
          <w:rFonts w:ascii="Times New Roman" w:hAnsi="Times New Roman" w:cs="Times New Roman"/>
          <w:sz w:val="28"/>
          <w:szCs w:val="28"/>
        </w:rPr>
        <w:t xml:space="preserve">показатели эффективности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антимонопольного комплаенса на 202</w:t>
      </w:r>
      <w:r>
        <w:rPr>
          <w:rFonts w:ascii="Times New Roman" w:hAnsi="Times New Roman" w:cs="Times New Roman"/>
          <w:sz w:val="28"/>
          <w:szCs w:val="28"/>
        </w:rPr>
        <w:t xml:space="preserve">4 год.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Основными 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адач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антимонопольного комплаенса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является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 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ыявление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управление рисками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нарушения антимонопольного законодательства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 за соответствием деятельности департамента требованиям антимонопольного законодательства и оценка эффективности функционирования в департаменте антимонопольного комплаенса.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 Оценка эффективности функционирования в департаменте антимонопольного комплаенса.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 указанных задач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году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департамент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проводились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следующие мероприятия: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1. 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Анализ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всех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нормативных правовых актов, включающий в себя: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разработк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размещение на официальном сайте департамента исчерпывающего перечня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правовых актов департамента (далее – перечень актов) с приложением текстов таких актов, за исключением актов, содержащих сведения, относящиеся к охраняемой законом тайне.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департамент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были разработаны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размещены на официальном сайте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разделе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«Антимонопольный комплаенс»: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перечн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актов по состоянию на 01.0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и 01.1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с приложением к данн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перечн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текстов актов, поименованных в перечн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ях.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уведомлени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 начале сбора замечаний и предложений юрид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ических лиц и граждан по перечням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актов.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году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амечания и предложения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юридических лиц и граждан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указанным перечням не поступали.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2. 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Анализ проектов нормативных правовых актов департамента, включаю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щий в себя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осуществление сбора информации от структурных подразделений департ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амента о размещенных на официальном сайте департамента и (или) в ГИС НСО «Электронная демократия Новосибирской области» проектов нормативных правовых актов департамента и поступивших от юридических лиц и граждан замечаний и предложений по проектам норматив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ных правовых актов департамента, а также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проведение оценки поступивших от юридических лиц и граждан замечаний и предложений по проектам нормативных правовых актов.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рамках данного мероприятия в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году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ежеквартально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осуществлялся сбор указанной информации от отделов департамента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Согласно представленной отделами департамента информации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год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все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проекты нормативных правовых актов департамента размещались на официальном сайте департамента, а также в ГИС НСО «Электронная демократия Новосибирской области», замечания и предложения по данным проектам от юридических лиц и граждан не поступали.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3. 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Проведение мониторинга и анализа практики применения антимонопольного законодательства в департаменте, включающ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ий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в себя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осуществление на постоянной основе сбора сведений в структурных подразделениях департамента о правоприменительной практике в департаменте.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рамках данного мероприятия юридическим отделом в течение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года осуществлялся сбор сведений в отделах департамента о практике применения антимонопольного законодательства в рамках деятельности отделов, в том числе: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об основных аспектах практики правоприменения антимонопольного законодательства;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об имеющихся изменениях в правоприменительной практике в области антимонопольного законодательства в указанный период и причинах таких изменений;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о наличии (отсутствии) нарушений антимонопольного законодательства в указанный период (предостережения, предупреждения, штрафы, жалобы возбужденные дела).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результатам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анализа информации,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полученной от структурных подразделений департамента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следует, что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202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4 году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департаментом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при осуществлении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полномочий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пре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дусмотренных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постановлением Правительства Новосибирской области от 14.12.2016 № 428-п «Об утверждении Положения о департаменте имущества и земельных отношений Новосибирской области»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применя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ись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положения антимонопольного законодательства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и соблюда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ись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его требования.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Вместе с тем 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ри проведении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работы по выявлению нарушений антимонопольного законодательства в деятельности департамента в 2024 году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установлено,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что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Управлении Федеральной антимонопольной службы по Новосибирской области (далее – УФАС)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находилось на рассмотрении дело № 054/01/15-1714/2023 о нарушении антимонопольного законодательства, на основании приказа УФАС от 04.09.2023 № 82, вынесе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нного в связи с несогласием департамента с предупреждением от 19.07.2023 о необходимости прекращения действий (бездействия), содержащих признаки нарушения антимонопольного законодательства, путем совершения действий, направленных на расторжение договора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232/16960 аренды земельного участка от 24.11.2014, заключенного между администрацией Новосибирского района Новосибирской области и РОО «Аэродром Мочище».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03.06.2024 комиссией УФАС принято Решение по делу о нарушении антимонопольного законодательства № 054/01/15-1714/2023 от 04.09.2023 (далее – решение), которым, в том числ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е, департамент признан нарушившим часть 1 статьи 15 Федерального закона от 26.07.2006 № 135-ФЗ «О защите конкуренции» (далее - Закон № 135-ФЗ). Нарушение выразилось в бездействии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расторжению договора аренды земельного участка от 24.11.2014 № 232/16960 (далее – договор аренды) которое приводит или может привести к ограничению, устранению конкуренции на соответствующем товарном рынке аренды земельных участков на террит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ории Новосибирской области (по обстоятельствам, описанным в решении); признано отсутствие оснований для прекращения рассмотрения дела; признаны достаточными имеющиеся материалы дела для выдачи департаменту предписания о прекращении нарушения антимонопольно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 законодательства. Решение в полном объеме изготовлено 18.06.2024.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03.06.2024 комиссией УФАС по результатам рассмотрения дела о нарушении антимонопольного законодательства № 054/01/15-1714/2023 вынесено предписание № 054/01/15-1714/2023 (далее – пред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писание), которым департаменту предписано совершить действия, направленные на устранение нарушения антимонопольного законодательства, а именно, в срок до 20.09.2024 осуществить действия, направленные на расторжение договора аренды (кадастровый номер земель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ного участка 54:19:112001:425). В случае необходимости предоставления данного земельного участка в аренду – соблюсти нормы Земельного кодекса Российской Федерации и Закона № 135-ФЗ. Указанные решение и предписание оспариваются департа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ментом в судебном порядке, в рамках дела № А45-25025/2024 в производстве Арбитражного суда Новосибирской области.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состоянию на конец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IV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квартала 2024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решение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делу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А45-25025/2024, находящемуся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производстве Арбитражного суда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по заявлению департамента, администрации Новосибирского района Новосибирской области 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УФАС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 признании незаконным решения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03.06.2024 по делу 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нарушении антимонопольного законодательства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04.09.2023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№054/01/15-1714/2023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предписания от 18.06.2024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054/01/15-1714/2023, не было принято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7"/>
          <w:szCs w:val="27"/>
          <w14:ligatures w14:val="non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Вместе с тем, 23.01.2025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Арбитражным судом Новосибирской области принято Решение требования 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епартамента, администрации Новосибирского района Новосибирской области 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УФАС по вышеуказанному делу удовлетворить.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Признать незаконными решение от 18.06.2024 по делу о нарушении антимонопольного законодательства от 04.09.2023 № 054/01/15-1714/2023, предписание от 03.06.2024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 054/01/15-1714/2023, вынесенные УФАС.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Такж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 в 2024 году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Новосибирским УФАС России рассматривались следующие жалобы на действия департамента – организатора торгов: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Федорова П.Н. (вх.970-ЭП/24 от 22.01.2024) при проведении аукциона на право заключения договора аренды земельного участка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кадастровым номером 54:18:070203:532, площадью 470 кв.м, местоположение: Новосибирская область, Мошковский р-н, п.Емельяновский, категория земель: земли населенных пунктов, разрешенное использование: птицеводство (1.10) (извещение 21000023030000000141, ло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 1),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  <w:t xml:space="preserve">вынесено решение от 31.01.2024 № 054/01/18.1-220/2024 о признании жалобы необоснованной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Гильфанова Д.И. (вх.1256-ЭП/24 от 25.01.2024) при проведении аукциона на право заключения договора аренды земельного участка с кадастровым номером 54:18:07020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3:532, площадью 470 кв.м, местоположение: Новосибирская область, Мошковский р-н, п.Емельяновский, категория земель: земли населенных пунктов, разрешенное использование: птицеводство (1.10) (извещение 21000023030000000141, лот 1),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вынесено решение от 13.02.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2024 № 054/01/18.1-284/2024 о признании жалобы необоснованной;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i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Лотовой Ю.С. при проведении аукциона на право заключения договора аренды земельного участка с кадастровым номером 54:19:130102:2035, площадью 2000 кв.м, местоположение: Новосибирская область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Новосибирский район, Раздольненский сельсовет, с. Раздольное, разрешенное использование: Склад (6.9) (извещение № 21000023030000000136 было опубликовано 01.12.2023 на сайте https://torgi.gov.ru/),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вынесено решение от 04.03.2024 № 054/01/18.1-471/2024 о п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ризнании жалобы необоснованной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  <w:t xml:space="preserve">о результатам рассмотрения обращения департамента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  <w:t xml:space="preserve"> Комиссией Новосибирского УФАС России во 2 квартале 2024 года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принято решение  о включении в реестр недобросовестных участников сведений о Лотовой Ю.С. 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14:ligatures w14:val="non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Иные предостережения, предупреждения, штрафы, жалобы, возбужденные дела в области антимонопольного законодательства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 выявлены.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учетом изложенного, в рамках вышеуказанных мероприятий, проведенных в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году риск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нарушения антимонопольного законодательства не выявлены.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целях оценки эффективности функционирования в департаменте антимонопольного комплаенса уста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новлены следующие ключевые показатели: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</w:t>
      </w:r>
      <m:oMath>
        <m:r>
          <m:rPr/>
          <w:rPr>
            <w:rFonts w:ascii="Cambria Math" w:hAnsi="Cambria Math" w:eastAsia="Times New Roman" w:cs="Times New Roman"/>
            <w:sz w:val="28"/>
            <w:szCs w:val="28"/>
            <w:lang w:eastAsia="ru-RU"/>
          </w:rPr>
          <m:t> </m:t>
        </m:r>
      </m:oMath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личество сотрудников структурных подразделений департамента, занимающихся реализацией антимонопольного комплаенса, прошедших обучение, переподготовку или повышение квалификации в сфере антимонопольного законодательства или антимонопольного комплаенса в теч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ение последних двух лет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22.04.2022 2 сотрудника департамента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прошли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курсы повышения квалификации по теме: «Контрактная система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Планируется обучение или повышение квалификации сотрудников департамента в 2025 году.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m:oMath>
        <m:r>
          <m:rPr/>
          <w:rPr>
            <w:rFonts w:ascii="Cambria Math" w:hAnsi="Cambria Math" w:eastAsia="Times New Roman" w:cs="Times New Roman"/>
            <w:sz w:val="28"/>
            <w:szCs w:val="28"/>
            <w:lang w:eastAsia="ru-RU"/>
          </w:rPr>
          <m:t> </m:t>
        </m:r>
      </m:oMath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Доля проектов нормативных правовых актов департамента, прошедших процедуру оценки регулирующего воздействия, от общего количества проектов нормативных правовых актов, подлежащих оце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нке регулирующего воздействия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год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нормативны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правовы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ов, разрабатываем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ые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департамент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ом,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 подлежали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проведению процедуры оценки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регулирующего воздействия.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личие случаев нарушения антимонопольного законодательства по всем сферам деятельности департамента.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году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доказанных </w:t>
      </w:r>
      <w:r>
        <w:rPr>
          <w:rFonts w:ascii="Times New Roman" w:hAnsi="Times New Roman" w:cs="Times New Roman"/>
          <w:sz w:val="28"/>
          <w:szCs w:val="28"/>
        </w:rPr>
        <w:t xml:space="preserve">нарушений антимонопольного законодательства не </w:t>
      </w:r>
      <w:r>
        <w:rPr>
          <w:rFonts w:ascii="Times New Roman" w:hAnsi="Times New Roman" w:cs="Times New Roman"/>
          <w:sz w:val="28"/>
          <w:szCs w:val="28"/>
        </w:rPr>
        <w:t xml:space="preserve">установлено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связи с отсутствием нарушений антимонопольного законодательства, план мероприятий по снижению рисков нарушения антимоно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польного законодательства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разрабатывался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информация по исполнению таких мероприятий в докладе не приводится.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851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29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8"/>
    <w:next w:val="828"/>
    <w:link w:val="65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29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8"/>
    <w:next w:val="828"/>
    <w:link w:val="65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29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8"/>
    <w:next w:val="828"/>
    <w:link w:val="66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29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8"/>
    <w:next w:val="828"/>
    <w:link w:val="66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29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8"/>
    <w:next w:val="828"/>
    <w:link w:val="66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29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8"/>
    <w:next w:val="828"/>
    <w:link w:val="66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2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8"/>
    <w:next w:val="828"/>
    <w:link w:val="66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29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8"/>
    <w:next w:val="828"/>
    <w:link w:val="67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29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8"/>
    <w:next w:val="828"/>
    <w:link w:val="67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4">
    <w:name w:val="Title Char"/>
    <w:basedOn w:val="829"/>
    <w:link w:val="673"/>
    <w:uiPriority w:val="10"/>
    <w:rPr>
      <w:sz w:val="48"/>
      <w:szCs w:val="48"/>
    </w:rPr>
  </w:style>
  <w:style w:type="paragraph" w:styleId="675">
    <w:name w:val="Subtitle"/>
    <w:basedOn w:val="828"/>
    <w:next w:val="828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29"/>
    <w:link w:val="675"/>
    <w:uiPriority w:val="11"/>
    <w:rPr>
      <w:sz w:val="24"/>
      <w:szCs w:val="24"/>
    </w:rPr>
  </w:style>
  <w:style w:type="paragraph" w:styleId="677">
    <w:name w:val="Quote"/>
    <w:basedOn w:val="828"/>
    <w:next w:val="828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8"/>
    <w:next w:val="828"/>
    <w:link w:val="68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basedOn w:val="829"/>
    <w:link w:val="838"/>
    <w:uiPriority w:val="99"/>
  </w:style>
  <w:style w:type="character" w:styleId="682">
    <w:name w:val="Footer Char"/>
    <w:basedOn w:val="829"/>
    <w:link w:val="840"/>
    <w:uiPriority w:val="99"/>
  </w:style>
  <w:style w:type="paragraph" w:styleId="683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840"/>
    <w:uiPriority w:val="99"/>
  </w:style>
  <w:style w:type="table" w:styleId="685">
    <w:name w:val="Table Grid"/>
    <w:basedOn w:val="8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2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0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1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2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1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22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23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24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25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26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27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5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6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7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8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29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29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spacing w:after="57"/>
      <w:ind w:left="0" w:right="0" w:firstLine="0"/>
    </w:pPr>
  </w:style>
  <w:style w:type="paragraph" w:styleId="818">
    <w:name w:val="toc 2"/>
    <w:basedOn w:val="828"/>
    <w:next w:val="828"/>
    <w:uiPriority w:val="39"/>
    <w:unhideWhenUsed/>
    <w:pPr>
      <w:spacing w:after="57"/>
      <w:ind w:left="283" w:right="0" w:firstLine="0"/>
    </w:pPr>
  </w:style>
  <w:style w:type="paragraph" w:styleId="819">
    <w:name w:val="toc 3"/>
    <w:basedOn w:val="828"/>
    <w:next w:val="828"/>
    <w:uiPriority w:val="39"/>
    <w:unhideWhenUsed/>
    <w:pPr>
      <w:spacing w:after="57"/>
      <w:ind w:left="567" w:right="0" w:firstLine="0"/>
    </w:pPr>
  </w:style>
  <w:style w:type="paragraph" w:styleId="820">
    <w:name w:val="toc 4"/>
    <w:basedOn w:val="828"/>
    <w:next w:val="828"/>
    <w:uiPriority w:val="39"/>
    <w:unhideWhenUsed/>
    <w:pPr>
      <w:spacing w:after="57"/>
      <w:ind w:left="850" w:right="0" w:firstLine="0"/>
    </w:pPr>
  </w:style>
  <w:style w:type="paragraph" w:styleId="821">
    <w:name w:val="toc 5"/>
    <w:basedOn w:val="828"/>
    <w:next w:val="828"/>
    <w:uiPriority w:val="39"/>
    <w:unhideWhenUsed/>
    <w:pPr>
      <w:spacing w:after="57"/>
      <w:ind w:left="1134" w:right="0" w:firstLine="0"/>
    </w:pPr>
  </w:style>
  <w:style w:type="paragraph" w:styleId="822">
    <w:name w:val="toc 6"/>
    <w:basedOn w:val="828"/>
    <w:next w:val="828"/>
    <w:uiPriority w:val="39"/>
    <w:unhideWhenUsed/>
    <w:pPr>
      <w:spacing w:after="57"/>
      <w:ind w:left="1417" w:right="0" w:firstLine="0"/>
    </w:pPr>
  </w:style>
  <w:style w:type="paragraph" w:styleId="823">
    <w:name w:val="toc 7"/>
    <w:basedOn w:val="828"/>
    <w:next w:val="828"/>
    <w:uiPriority w:val="39"/>
    <w:unhideWhenUsed/>
    <w:pPr>
      <w:spacing w:after="57"/>
      <w:ind w:left="1701" w:right="0" w:firstLine="0"/>
    </w:pPr>
  </w:style>
  <w:style w:type="paragraph" w:styleId="824">
    <w:name w:val="toc 8"/>
    <w:basedOn w:val="828"/>
    <w:next w:val="828"/>
    <w:uiPriority w:val="39"/>
    <w:unhideWhenUsed/>
    <w:pPr>
      <w:spacing w:after="57"/>
      <w:ind w:left="1984" w:right="0" w:firstLine="0"/>
    </w:pPr>
  </w:style>
  <w:style w:type="paragraph" w:styleId="825">
    <w:name w:val="toc 9"/>
    <w:basedOn w:val="828"/>
    <w:next w:val="828"/>
    <w:uiPriority w:val="39"/>
    <w:unhideWhenUsed/>
    <w:pPr>
      <w:spacing w:after="57"/>
      <w:ind w:left="2268" w:right="0" w:firstLine="0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paragraph" w:styleId="832">
    <w:name w:val="List Paragraph"/>
    <w:basedOn w:val="828"/>
    <w:uiPriority w:val="34"/>
    <w:qFormat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33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character" w:styleId="834">
    <w:name w:val="Hyperlink"/>
    <w:basedOn w:val="829"/>
    <w:uiPriority w:val="99"/>
    <w:semiHidden/>
    <w:unhideWhenUsed/>
    <w:rPr>
      <w:color w:val="0000ff"/>
      <w:u w:val="single"/>
    </w:rPr>
  </w:style>
  <w:style w:type="character" w:styleId="835">
    <w:name w:val="Placeholder Text"/>
    <w:basedOn w:val="829"/>
    <w:uiPriority w:val="99"/>
    <w:semiHidden/>
    <w:rPr>
      <w:color w:val="808080"/>
    </w:rPr>
  </w:style>
  <w:style w:type="paragraph" w:styleId="836">
    <w:name w:val="Balloon Text"/>
    <w:basedOn w:val="828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29"/>
    <w:link w:val="836"/>
    <w:uiPriority w:val="99"/>
    <w:semiHidden/>
    <w:rPr>
      <w:rFonts w:ascii="Segoe UI" w:hAnsi="Segoe UI" w:cs="Segoe UI"/>
      <w:sz w:val="18"/>
      <w:szCs w:val="18"/>
    </w:rPr>
  </w:style>
  <w:style w:type="paragraph" w:styleId="838">
    <w:name w:val="Header"/>
    <w:basedOn w:val="828"/>
    <w:link w:val="839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39" w:customStyle="1">
    <w:name w:val="Верхний колонтитул Знак"/>
    <w:basedOn w:val="829"/>
    <w:link w:val="838"/>
    <w:uiPriority w:val="99"/>
  </w:style>
  <w:style w:type="paragraph" w:styleId="840">
    <w:name w:val="Footer"/>
    <w:basedOn w:val="828"/>
    <w:link w:val="841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41" w:customStyle="1">
    <w:name w:val="Нижний колонтитул Знак"/>
    <w:basedOn w:val="829"/>
    <w:link w:val="84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Адольф Анастасия Сергеевна</dc:creator>
  <cp:keywords/>
  <dc:description/>
  <cp:revision>15</cp:revision>
  <dcterms:created xsi:type="dcterms:W3CDTF">2024-02-01T05:17:00Z</dcterms:created>
  <dcterms:modified xsi:type="dcterms:W3CDTF">2025-01-31T04:23:55Z</dcterms:modified>
</cp:coreProperties>
</file>