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0"/>
        <w:ind w:left="2832" w:firstLine="2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4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Уведомление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начале </w:t>
      </w:r>
      <w:r>
        <w:rPr>
          <w:sz w:val="28"/>
          <w:szCs w:val="28"/>
        </w:rPr>
        <w:t xml:space="preserve">сбор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замечаний и предложений </w:t>
      </w:r>
      <w:r>
        <w:rPr>
          <w:sz w:val="28"/>
          <w:szCs w:val="28"/>
        </w:rPr>
        <w:t xml:space="preserve">по перечню нормативных правовых актов департамента имущества и земельных отношений Новосибирской области</w:t>
      </w:r>
      <w:r>
        <w:rPr>
          <w:sz w:val="28"/>
          <w:szCs w:val="28"/>
        </w:rPr>
        <w:t xml:space="preserve"> по состоянию на </w:t>
      </w:r>
      <w:r>
        <w:rPr>
          <w:sz w:val="28"/>
          <w:szCs w:val="28"/>
        </w:rPr>
        <w:t xml:space="preserve">01.</w:t>
      </w:r>
      <w:r>
        <w:rPr>
          <w:sz w:val="28"/>
          <w:szCs w:val="28"/>
        </w:rPr>
        <w:t xml:space="preserve">06.2025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Д</w:t>
      </w:r>
      <w:r>
        <w:rPr>
          <w:rFonts w:ascii="Times New Roman" w:hAnsi="Times New Roman" w:cs="Times New Roman"/>
          <w:sz w:val="28"/>
          <w:szCs w:val="28"/>
        </w:rPr>
        <w:t xml:space="preserve">епартамент имущества и земельных отношений Новосибирской области (далее – департамент) </w:t>
      </w:r>
      <w:r>
        <w:rPr>
          <w:rFonts w:ascii="Times New Roman" w:hAnsi="Times New Roman" w:cs="Times New Roman"/>
          <w:sz w:val="28"/>
          <w:szCs w:val="28"/>
        </w:rPr>
        <w:t xml:space="preserve">сообщает о размещении на официальном сайте департамента перечня</w:t>
      </w:r>
      <w:r>
        <w:rPr>
          <w:rFonts w:ascii="Times New Roman" w:hAnsi="Times New Roman" w:cs="Times New Roman"/>
          <w:sz w:val="28"/>
          <w:szCs w:val="28"/>
        </w:rPr>
        <w:t xml:space="preserve"> нормативных правовых актов департамента </w:t>
      </w:r>
      <w:r>
        <w:rPr>
          <w:rFonts w:ascii="Times New Roman" w:hAnsi="Times New Roman" w:cs="Times New Roman"/>
          <w:b/>
          <w:sz w:val="28"/>
          <w:szCs w:val="28"/>
        </w:rPr>
        <w:t xml:space="preserve">по состоянию на </w:t>
      </w:r>
      <w:r>
        <w:rPr>
          <w:rFonts w:ascii="Times New Roman" w:hAnsi="Times New Roman" w:cs="Times New Roman"/>
          <w:b/>
          <w:sz w:val="28"/>
          <w:szCs w:val="28"/>
        </w:rPr>
        <w:t xml:space="preserve">01.</w:t>
      </w:r>
      <w:r>
        <w:rPr>
          <w:rFonts w:ascii="Times New Roman" w:hAnsi="Times New Roman" w:cs="Times New Roman"/>
          <w:b/>
          <w:sz w:val="28"/>
          <w:szCs w:val="28"/>
        </w:rPr>
        <w:t xml:space="preserve">06.2025 </w:t>
      </w:r>
      <w:r>
        <w:rPr>
          <w:rFonts w:ascii="Times New Roman" w:hAnsi="Times New Roman" w:cs="Times New Roman"/>
          <w:sz w:val="28"/>
          <w:szCs w:val="28"/>
        </w:rPr>
        <w:t xml:space="preserve">(далее –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еречень)</w:t>
      </w:r>
      <w:r>
        <w:rPr>
          <w:rFonts w:ascii="Times New Roman" w:hAnsi="Times New Roman" w:cs="Times New Roman"/>
          <w:sz w:val="28"/>
          <w:szCs w:val="28"/>
        </w:rPr>
        <w:t xml:space="preserve">. Перечень размещен </w:t>
      </w:r>
      <w:r>
        <w:rPr>
          <w:rFonts w:ascii="Times New Roman" w:hAnsi="Times New Roman" w:cs="Times New Roman"/>
          <w:sz w:val="28"/>
          <w:szCs w:val="28"/>
        </w:rPr>
        <w:t xml:space="preserve">по адресу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https://dizo.nso.ru/page/1084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выявления рисков нарушения антимонопольного законодательства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</w:t>
      </w:r>
      <w:r>
        <w:rPr>
          <w:rFonts w:ascii="Times New Roman" w:hAnsi="Times New Roman" w:cs="Times New Roman"/>
          <w:sz w:val="28"/>
          <w:szCs w:val="28"/>
        </w:rPr>
        <w:t xml:space="preserve">информирует о </w:t>
      </w:r>
      <w:r>
        <w:rPr>
          <w:rFonts w:ascii="Times New Roman" w:hAnsi="Times New Roman" w:cs="Times New Roman"/>
          <w:sz w:val="28"/>
          <w:szCs w:val="28"/>
        </w:rPr>
        <w:t xml:space="preserve">начале </w:t>
      </w:r>
      <w:r>
        <w:rPr>
          <w:rFonts w:ascii="Times New Roman" w:hAnsi="Times New Roman" w:cs="Times New Roman"/>
          <w:sz w:val="28"/>
          <w:szCs w:val="28"/>
        </w:rPr>
        <w:t xml:space="preserve">сбор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граждан и </w:t>
      </w:r>
      <w:r>
        <w:rPr>
          <w:rFonts w:ascii="Times New Roman" w:hAnsi="Times New Roman" w:cs="Times New Roman"/>
          <w:sz w:val="28"/>
          <w:szCs w:val="28"/>
        </w:rPr>
        <w:t xml:space="preserve">юридических лиц </w:t>
      </w:r>
      <w:r>
        <w:rPr>
          <w:rFonts w:ascii="Times New Roman" w:hAnsi="Times New Roman" w:cs="Times New Roman"/>
          <w:sz w:val="28"/>
          <w:szCs w:val="28"/>
        </w:rPr>
        <w:t xml:space="preserve">замечаний и </w:t>
      </w:r>
      <w:r>
        <w:rPr>
          <w:rFonts w:ascii="Times New Roman" w:hAnsi="Times New Roman" w:cs="Times New Roman"/>
          <w:sz w:val="28"/>
          <w:szCs w:val="28"/>
        </w:rPr>
        <w:t xml:space="preserve">предложений по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еречню</w:t>
      </w:r>
      <w:r>
        <w:rPr>
          <w:rFonts w:ascii="Times New Roman" w:hAnsi="Times New Roman" w:cs="Times New Roman"/>
          <w:sz w:val="28"/>
          <w:szCs w:val="28"/>
        </w:rPr>
        <w:t xml:space="preserve">, которые представляются в департамент</w:t>
      </w:r>
      <w:r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к</w:t>
      </w:r>
      <w:r>
        <w:rPr>
          <w:rFonts w:ascii="Times New Roman" w:hAnsi="Times New Roman" w:cs="Times New Roman"/>
          <w:sz w:val="28"/>
          <w:szCs w:val="28"/>
        </w:rPr>
        <w:t xml:space="preserve"> настоящему уведомлению.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приема замечаний и предложений по Перечню: с </w:t>
      </w:r>
      <w:r>
        <w:rPr>
          <w:rFonts w:ascii="Times New Roman" w:hAnsi="Times New Roman" w:cs="Times New Roman"/>
          <w:sz w:val="28"/>
          <w:szCs w:val="28"/>
        </w:rPr>
        <w:t xml:space="preserve">01.08.2025 по 31.08.2025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 для направления замечаний и предложений</w:t>
      </w:r>
      <w:r>
        <w:rPr>
          <w:rFonts w:ascii="Times New Roman" w:hAnsi="Times New Roman" w:cs="Times New Roman"/>
          <w:sz w:val="28"/>
          <w:szCs w:val="28"/>
        </w:rPr>
        <w:t xml:space="preserve"> по прилагаемой форме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</w:instrText>
      </w:r>
      <w:r>
        <w:rPr>
          <w:rFonts w:ascii="Times New Roman" w:hAnsi="Times New Roman" w:cs="Times New Roman"/>
          <w:sz w:val="28"/>
          <w:szCs w:val="28"/>
          <w:lang w:val="en-US"/>
        </w:rPr>
        <w:instrText xml:space="preserve">HYPERLINK</w:instrText>
      </w:r>
      <w:r>
        <w:rPr>
          <w:rFonts w:ascii="Times New Roman" w:hAnsi="Times New Roman" w:cs="Times New Roman"/>
          <w:sz w:val="28"/>
          <w:szCs w:val="28"/>
        </w:rPr>
        <w:instrText xml:space="preserve"> "</w:instrText>
      </w:r>
      <w:r>
        <w:rPr>
          <w:rFonts w:ascii="Times New Roman" w:hAnsi="Times New Roman" w:cs="Times New Roman"/>
          <w:sz w:val="28"/>
          <w:szCs w:val="28"/>
          <w:lang w:val="en-US"/>
        </w:rPr>
        <w:instrText xml:space="preserve">mailto</w:instrText>
      </w:r>
      <w:r>
        <w:rPr>
          <w:rFonts w:ascii="Times New Roman" w:hAnsi="Times New Roman" w:cs="Times New Roman"/>
          <w:sz w:val="28"/>
          <w:szCs w:val="28"/>
        </w:rPr>
        <w:instrText xml:space="preserve">:</w:instrText>
      </w:r>
      <w:r>
        <w:rPr>
          <w:rFonts w:ascii="Times New Roman" w:hAnsi="Times New Roman" w:cs="Times New Roman"/>
          <w:sz w:val="28"/>
          <w:szCs w:val="28"/>
          <w:lang w:val="en-US"/>
        </w:rPr>
        <w:instrText xml:space="preserve">lck</w:instrText>
      </w:r>
      <w:r>
        <w:rPr>
          <w:rFonts w:ascii="Times New Roman" w:hAnsi="Times New Roman" w:cs="Times New Roman"/>
          <w:sz w:val="28"/>
          <w:szCs w:val="28"/>
        </w:rPr>
        <w:instrText xml:space="preserve">@</w:instrText>
      </w:r>
      <w:r>
        <w:rPr>
          <w:rFonts w:ascii="Times New Roman" w:hAnsi="Times New Roman" w:cs="Times New Roman"/>
          <w:sz w:val="28"/>
          <w:szCs w:val="28"/>
          <w:lang w:val="en-US"/>
        </w:rPr>
        <w:instrText xml:space="preserve">nso</w:instrText>
      </w:r>
      <w:r>
        <w:rPr>
          <w:rFonts w:ascii="Times New Roman" w:hAnsi="Times New Roman" w:cs="Times New Roman"/>
          <w:sz w:val="28"/>
          <w:szCs w:val="28"/>
        </w:rPr>
        <w:instrText xml:space="preserve">.</w:instrText>
      </w:r>
      <w:r>
        <w:rPr>
          <w:rFonts w:ascii="Times New Roman" w:hAnsi="Times New Roman" w:cs="Times New Roman"/>
          <w:sz w:val="28"/>
          <w:szCs w:val="28"/>
          <w:lang w:val="en-US"/>
        </w:rPr>
        <w:instrText xml:space="preserve">ru</w:instrText>
      </w:r>
      <w:r>
        <w:rPr>
          <w:rFonts w:ascii="Times New Roman" w:hAnsi="Times New Roman" w:cs="Times New Roman"/>
          <w:sz w:val="28"/>
          <w:szCs w:val="28"/>
        </w:rPr>
        <w:instrText xml:space="preserve">" </w:instrText>
      </w:r>
      <w:r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>
        <w:rPr>
          <w:rStyle w:val="878"/>
          <w:rFonts w:ascii="Times New Roman" w:hAnsi="Times New Roman" w:cs="Times New Roman"/>
          <w:sz w:val="28"/>
          <w:szCs w:val="28"/>
          <w:lang w:val="en-US"/>
        </w:rPr>
        <w:t xml:space="preserve">lck</w:t>
      </w:r>
      <w:r>
        <w:rPr>
          <w:rStyle w:val="878"/>
          <w:rFonts w:ascii="Times New Roman" w:hAnsi="Times New Roman" w:cs="Times New Roman"/>
          <w:sz w:val="28"/>
          <w:szCs w:val="28"/>
        </w:rPr>
        <w:t xml:space="preserve">@</w:t>
      </w:r>
      <w:r>
        <w:rPr>
          <w:rStyle w:val="878"/>
          <w:rFonts w:ascii="Times New Roman" w:hAnsi="Times New Roman" w:cs="Times New Roman"/>
          <w:sz w:val="28"/>
          <w:szCs w:val="28"/>
          <w:lang w:val="en-US"/>
        </w:rPr>
        <w:t xml:space="preserve">nso</w:t>
      </w:r>
      <w:r>
        <w:rPr>
          <w:rStyle w:val="878"/>
          <w:rFonts w:ascii="Times New Roman" w:hAnsi="Times New Roman" w:cs="Times New Roman"/>
          <w:sz w:val="28"/>
          <w:szCs w:val="28"/>
        </w:rPr>
        <w:t xml:space="preserve">.</w:t>
      </w:r>
      <w:r>
        <w:rPr>
          <w:rStyle w:val="878"/>
          <w:rFonts w:ascii="Times New Roman" w:hAnsi="Times New Roman" w:cs="Times New Roman"/>
          <w:sz w:val="28"/>
          <w:szCs w:val="28"/>
          <w:lang w:val="en-US"/>
        </w:rPr>
        <w:t xml:space="preserve">ru</w:t>
      </w:r>
      <w:r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left="5664" w:firstLine="5"/>
        <w:jc w:val="right"/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Приложение </w:t>
      </w:r>
      <w:r>
        <w:rPr>
          <w:rFonts w:ascii="Times New Roman" w:hAnsi="Times New Roman"/>
          <w:i/>
          <w:sz w:val="20"/>
          <w:szCs w:val="20"/>
        </w:rPr>
      </w:r>
      <w:r>
        <w:rPr>
          <w:rFonts w:ascii="Times New Roman" w:hAnsi="Times New Roman"/>
          <w:i/>
          <w:sz w:val="20"/>
          <w:szCs w:val="20"/>
        </w:rPr>
      </w:r>
    </w:p>
    <w:p>
      <w:pPr>
        <w:pStyle w:val="870"/>
        <w:ind w:left="4248" w:firstLine="708"/>
        <w:jc w:val="right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к Уведомлению о </w:t>
      </w:r>
      <w:r>
        <w:rPr>
          <w:rFonts w:ascii="Times New Roman" w:hAnsi="Times New Roman"/>
          <w:i/>
          <w:sz w:val="20"/>
          <w:szCs w:val="20"/>
        </w:rPr>
        <w:t xml:space="preserve">начале сбора</w:t>
      </w:r>
      <w:r>
        <w:rPr>
          <w:rFonts w:ascii="Times New Roman" w:hAnsi="Times New Roman"/>
          <w:i/>
          <w:sz w:val="20"/>
          <w:szCs w:val="20"/>
        </w:rPr>
        <w:t xml:space="preserve"> замечаний и </w:t>
      </w:r>
      <w:r>
        <w:rPr>
          <w:rFonts w:ascii="Times New Roman" w:hAnsi="Times New Roman"/>
          <w:i/>
          <w:sz w:val="20"/>
          <w:szCs w:val="20"/>
        </w:rPr>
        <w:t xml:space="preserve">п</w:t>
      </w:r>
      <w:r>
        <w:rPr>
          <w:rFonts w:ascii="Times New Roman" w:hAnsi="Times New Roman"/>
          <w:i/>
          <w:sz w:val="20"/>
          <w:szCs w:val="20"/>
        </w:rPr>
        <w:t xml:space="preserve">редложений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70"/>
        <w:ind w:left="4248" w:firstLine="708"/>
        <w:jc w:val="right"/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по перечню нормативных правовых актов департамента </w:t>
      </w:r>
      <w:r>
        <w:rPr>
          <w:rFonts w:ascii="Times New Roman" w:hAnsi="Times New Roman"/>
          <w:i/>
          <w:sz w:val="20"/>
          <w:szCs w:val="20"/>
        </w:rPr>
      </w:r>
      <w:r>
        <w:rPr>
          <w:rFonts w:ascii="Times New Roman" w:hAnsi="Times New Roman"/>
          <w:i/>
          <w:sz w:val="20"/>
          <w:szCs w:val="20"/>
        </w:rPr>
      </w:r>
    </w:p>
    <w:p>
      <w:pPr>
        <w:pStyle w:val="870"/>
        <w:ind w:left="4248" w:firstLine="708"/>
        <w:jc w:val="right"/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имущества и земельных отношений Новосибирской области   </w:t>
      </w:r>
      <w:r>
        <w:rPr>
          <w:rFonts w:ascii="Times New Roman" w:hAnsi="Times New Roman"/>
          <w:i/>
          <w:sz w:val="20"/>
          <w:szCs w:val="20"/>
        </w:rPr>
      </w:r>
      <w:r>
        <w:rPr>
          <w:rFonts w:ascii="Times New Roman" w:hAnsi="Times New Roman"/>
          <w:i/>
          <w:sz w:val="20"/>
          <w:szCs w:val="20"/>
        </w:rPr>
      </w:r>
    </w:p>
    <w:p>
      <w:pPr>
        <w:pStyle w:val="874"/>
        <w:jc w:val="center"/>
        <w:widowControl w:val="off"/>
        <w:rPr>
          <w:i/>
          <w:sz w:val="20"/>
          <w:szCs w:val="20"/>
        </w:rPr>
      </w:pPr>
      <w:r>
        <w:rPr>
          <w:i/>
          <w:sz w:val="20"/>
          <w:szCs w:val="20"/>
        </w:rPr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pStyle w:val="874"/>
        <w:jc w:val="center"/>
        <w:widowControl w:val="off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Форма представления замечаний и предложений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pStyle w:val="874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ind w:left="3540" w:firstLine="708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В департамент имущества и земельных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74"/>
        <w:ind w:left="3540" w:firstLine="708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отношений Новосибирской области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74"/>
        <w:widowControl w:val="off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74"/>
        <w:ind w:left="4248"/>
        <w:widowControl w:val="off"/>
        <w:rPr>
          <w:sz w:val="28"/>
          <w:szCs w:val="28"/>
        </w:rPr>
      </w:pPr>
      <w:r>
        <w:rPr>
          <w:sz w:val="26"/>
          <w:szCs w:val="26"/>
        </w:rPr>
        <w:t xml:space="preserve">от_____________________</w:t>
      </w:r>
      <w:r>
        <w:rPr>
          <w:sz w:val="26"/>
          <w:szCs w:val="26"/>
        </w:rPr>
        <w:t xml:space="preserve">___</w:t>
      </w:r>
      <w:r>
        <w:rPr>
          <w:sz w:val="26"/>
          <w:szCs w:val="26"/>
        </w:rPr>
        <w:t xml:space="preserve">__________</w:t>
      </w:r>
      <w:r>
        <w:rPr>
          <w:sz w:val="28"/>
          <w:szCs w:val="28"/>
        </w:rPr>
        <w:t xml:space="preserve">______</w:t>
      </w:r>
      <w:r>
        <w:rPr>
          <w:sz w:val="20"/>
          <w:szCs w:val="20"/>
        </w:rPr>
        <w:t xml:space="preserve">                         (Ф.И.О.(последнее – при наличии)</w:t>
      </w:r>
      <w:r>
        <w:rPr>
          <w:sz w:val="20"/>
          <w:szCs w:val="20"/>
        </w:rPr>
        <w:t xml:space="preserve">/наименование </w:t>
      </w:r>
      <w:r>
        <w:rPr>
          <w:sz w:val="20"/>
          <w:szCs w:val="20"/>
        </w:rPr>
        <w:t xml:space="preserve">                                      </w:t>
      </w:r>
      <w:r>
        <w:rPr>
          <w:sz w:val="20"/>
          <w:szCs w:val="20"/>
        </w:rPr>
        <w:t xml:space="preserve">юри</w:t>
      </w:r>
      <w:r>
        <w:rPr>
          <w:sz w:val="20"/>
          <w:szCs w:val="20"/>
        </w:rPr>
        <w:t xml:space="preserve">дического лица) </w:t>
      </w:r>
      <w:r>
        <w:rPr>
          <w:sz w:val="28"/>
          <w:szCs w:val="28"/>
        </w:rPr>
        <w:t xml:space="preserve">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ind w:left="2832" w:firstLine="708"/>
        <w:widowControl w:val="off"/>
        <w:rPr>
          <w:sz w:val="28"/>
          <w:szCs w:val="28"/>
        </w:rPr>
      </w:pPr>
      <w:r>
        <w:rPr>
          <w:sz w:val="28"/>
          <w:szCs w:val="28"/>
        </w:rPr>
        <w:tab/>
        <w:t xml:space="preserve">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ind w:left="2832" w:firstLine="708"/>
        <w:widowControl w:val="off"/>
        <w:rPr>
          <w:sz w:val="20"/>
          <w:szCs w:val="20"/>
        </w:rPr>
      </w:pPr>
      <w:r>
        <w:rPr>
          <w:sz w:val="28"/>
          <w:szCs w:val="28"/>
        </w:rPr>
        <w:tab/>
        <w:tab/>
        <w:t xml:space="preserve">  </w:t>
      </w:r>
      <w:r>
        <w:rPr>
          <w:sz w:val="20"/>
          <w:szCs w:val="20"/>
        </w:rPr>
        <w:t xml:space="preserve">(место жительства – для физических лиц/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4"/>
        <w:widowControl w:val="off"/>
        <w:rPr>
          <w:sz w:val="20"/>
          <w:szCs w:val="20"/>
        </w:rPr>
      </w:pPr>
      <w:r>
        <w:rPr>
          <w:sz w:val="20"/>
          <w:szCs w:val="20"/>
        </w:rPr>
        <w:t xml:space="preserve">   </w:t>
        <w:tab/>
        <w:tab/>
        <w:tab/>
        <w:tab/>
        <w:tab/>
        <w:tab/>
        <w:tab/>
        <w:t xml:space="preserve">    </w:t>
      </w:r>
      <w:r>
        <w:rPr>
          <w:sz w:val="20"/>
          <w:szCs w:val="20"/>
        </w:rPr>
        <w:t xml:space="preserve">место </w:t>
      </w:r>
      <w:r>
        <w:rPr>
          <w:sz w:val="20"/>
          <w:szCs w:val="20"/>
        </w:rPr>
        <w:t xml:space="preserve">н</w:t>
      </w:r>
      <w:r>
        <w:rPr>
          <w:sz w:val="20"/>
          <w:szCs w:val="20"/>
        </w:rPr>
        <w:t xml:space="preserve">ахождения – для юридических лиц)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4"/>
        <w:ind w:left="2832" w:firstLine="708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jc w:val="center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ИНФОРМАЦИЯ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74"/>
        <w:jc w:val="center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о замечаниях и предложениях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74"/>
        <w:jc w:val="center"/>
        <w:widowControl w:val="off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связи с размещением департаментом имущества и земельных отношений Новосибирской области (далее – департамент) на официальном сайте департамента перечня нормативных правовых актов департамента по со</w:t>
      </w:r>
      <w:r>
        <w:rPr>
          <w:rFonts w:ascii="Times New Roman" w:hAnsi="Times New Roman" w:cs="Times New Roman"/>
          <w:sz w:val="26"/>
          <w:szCs w:val="26"/>
        </w:rPr>
        <w:t xml:space="preserve">стоянию на </w:t>
      </w:r>
      <w:r>
        <w:rPr>
          <w:rFonts w:ascii="Times New Roman" w:hAnsi="Times New Roman" w:cs="Times New Roman"/>
          <w:sz w:val="26"/>
          <w:szCs w:val="26"/>
        </w:rPr>
        <w:t xml:space="preserve">01.</w:t>
      </w:r>
      <w:r>
        <w:rPr>
          <w:rFonts w:ascii="Times New Roman" w:hAnsi="Times New Roman" w:cs="Times New Roman"/>
          <w:sz w:val="26"/>
          <w:szCs w:val="26"/>
        </w:rPr>
        <w:t xml:space="preserve">06.2025</w:t>
      </w:r>
      <w:r>
        <w:rPr>
          <w:rFonts w:ascii="Times New Roman" w:hAnsi="Times New Roman" w:cs="Times New Roman"/>
          <w:sz w:val="26"/>
          <w:szCs w:val="26"/>
        </w:rPr>
        <w:t xml:space="preserve"> (далее – П</w:t>
      </w:r>
      <w:r>
        <w:rPr>
          <w:rFonts w:ascii="Times New Roman" w:hAnsi="Times New Roman" w:cs="Times New Roman"/>
          <w:sz w:val="26"/>
          <w:szCs w:val="26"/>
        </w:rPr>
        <w:t xml:space="preserve">еречень) и уведомления о </w:t>
      </w:r>
      <w:r>
        <w:rPr>
          <w:rFonts w:ascii="Times New Roman" w:hAnsi="Times New Roman" w:cs="Times New Roman"/>
          <w:sz w:val="26"/>
          <w:szCs w:val="26"/>
        </w:rPr>
        <w:t xml:space="preserve">начале </w:t>
      </w:r>
      <w:r>
        <w:rPr>
          <w:rFonts w:ascii="Times New Roman" w:hAnsi="Times New Roman" w:cs="Times New Roman"/>
          <w:sz w:val="26"/>
          <w:szCs w:val="26"/>
        </w:rPr>
        <w:t xml:space="preserve">сб</w:t>
      </w:r>
      <w:r>
        <w:rPr>
          <w:rFonts w:ascii="Times New Roman" w:hAnsi="Times New Roman" w:cs="Times New Roman"/>
          <w:sz w:val="26"/>
          <w:szCs w:val="26"/>
        </w:rPr>
        <w:t xml:space="preserve">ора замечаний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предложений по П</w:t>
      </w:r>
      <w:r>
        <w:rPr>
          <w:rFonts w:ascii="Times New Roman" w:hAnsi="Times New Roman" w:cs="Times New Roman"/>
          <w:sz w:val="26"/>
          <w:szCs w:val="26"/>
        </w:rPr>
        <w:t xml:space="preserve">еречню, </w:t>
      </w:r>
      <w:r>
        <w:rPr>
          <w:rFonts w:ascii="Times New Roman" w:hAnsi="Times New Roman" w:cs="Times New Roman"/>
          <w:sz w:val="26"/>
          <w:szCs w:val="26"/>
        </w:rPr>
        <w:t xml:space="preserve">по результатам рассмотрения П</w:t>
      </w:r>
      <w:r>
        <w:rPr>
          <w:rFonts w:ascii="Times New Roman" w:hAnsi="Times New Roman" w:cs="Times New Roman"/>
          <w:sz w:val="26"/>
          <w:szCs w:val="26"/>
        </w:rPr>
        <w:t xml:space="preserve">еречня сообщаю следующее.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76"/>
        <w:ind w:firstLine="709"/>
        <w:jc w:val="both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П</w:t>
      </w:r>
      <w:r>
        <w:rPr>
          <w:rFonts w:ascii="Times New Roman" w:hAnsi="Times New Roman" w:cs="Times New Roman"/>
          <w:sz w:val="26"/>
          <w:szCs w:val="26"/>
        </w:rPr>
        <w:t xml:space="preserve">еречне под № ___ указан нормативный правовой акт______</w:t>
      </w:r>
      <w:r>
        <w:rPr>
          <w:rFonts w:ascii="Times New Roman" w:hAnsi="Times New Roman" w:cs="Times New Roman"/>
          <w:sz w:val="26"/>
          <w:szCs w:val="26"/>
        </w:rPr>
        <w:t xml:space="preserve">__________________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</w:t>
      </w:r>
      <w:r>
        <w:rPr>
          <w:rFonts w:ascii="Times New Roman" w:hAnsi="Times New Roman" w:cs="Times New Roman"/>
        </w:rPr>
        <w:t xml:space="preserve">_________________________________,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6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(наименование </w:t>
      </w:r>
      <w:r>
        <w:rPr>
          <w:rFonts w:ascii="Times New Roman" w:hAnsi="Times New Roman" w:cs="Times New Roman"/>
        </w:rPr>
        <w:t xml:space="preserve">и реквизиты </w:t>
      </w:r>
      <w:r>
        <w:rPr>
          <w:rFonts w:ascii="Times New Roman" w:hAnsi="Times New Roman" w:cs="Times New Roman"/>
        </w:rPr>
        <w:t xml:space="preserve">нормативного правового акта)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котором содержатся следующие положения, влекущие риск нарушения антимонопольного законодательства</w:t>
      </w:r>
      <w:r>
        <w:rPr>
          <w:rStyle w:val="881"/>
          <w:rFonts w:ascii="Times New Roman" w:hAnsi="Times New Roman" w:cs="Times New Roman"/>
          <w:sz w:val="26"/>
          <w:szCs w:val="26"/>
        </w:rPr>
        <w:footnoteReference w:id="2"/>
      </w:r>
      <w:r>
        <w:rPr>
          <w:rFonts w:ascii="Times New Roman" w:hAnsi="Times New Roman" w:cs="Times New Roman"/>
          <w:sz w:val="26"/>
          <w:szCs w:val="26"/>
        </w:rPr>
        <w:t xml:space="preserve">: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___________________</w:t>
      </w:r>
      <w:r>
        <w:rPr>
          <w:rFonts w:ascii="Times New Roman" w:hAnsi="Times New Roman" w:cs="Times New Roman"/>
        </w:rPr>
        <w:t xml:space="preserve">____</w:t>
      </w:r>
      <w:r>
        <w:rPr>
          <w:rFonts w:ascii="Times New Roman" w:hAnsi="Times New Roman" w:cs="Times New Roman"/>
        </w:rPr>
        <w:t xml:space="preserve">_______________________________________________________</w:t>
      </w:r>
      <w:r>
        <w:rPr>
          <w:rFonts w:ascii="Times New Roman" w:hAnsi="Times New Roman" w:cs="Times New Roman"/>
        </w:rPr>
        <w:t xml:space="preserve">_______________________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устранения указанных рисков нарушения антимонопольног</w:t>
      </w:r>
      <w:r>
        <w:rPr>
          <w:rFonts w:ascii="Times New Roman" w:hAnsi="Times New Roman" w:cs="Times New Roman"/>
          <w:sz w:val="26"/>
          <w:szCs w:val="26"/>
        </w:rPr>
        <w:t xml:space="preserve">о законодательства предлагаю</w:t>
      </w:r>
      <w:r>
        <w:rPr>
          <w:rFonts w:ascii="Times New Roman" w:hAnsi="Times New Roman" w:cs="Times New Roman"/>
          <w:sz w:val="26"/>
          <w:szCs w:val="26"/>
        </w:rPr>
        <w:t xml:space="preserve">: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</w:t>
      </w:r>
      <w:r>
        <w:rPr>
          <w:rFonts w:ascii="Times New Roman" w:hAnsi="Times New Roman" w:cs="Times New Roman"/>
        </w:rPr>
        <w:t xml:space="preserve">_____</w:t>
      </w:r>
      <w:r>
        <w:rPr>
          <w:rFonts w:ascii="Times New Roman" w:hAnsi="Times New Roman" w:cs="Times New Roman"/>
        </w:rPr>
        <w:t xml:space="preserve">_________________________________________________</w:t>
      </w:r>
      <w:r>
        <w:rPr>
          <w:rFonts w:ascii="Times New Roman" w:hAnsi="Times New Roman" w:cs="Times New Roman"/>
        </w:rPr>
        <w:t xml:space="preserve">________</w:t>
      </w:r>
      <w:r>
        <w:rPr>
          <w:rFonts w:ascii="Times New Roman" w:hAnsi="Times New Roman" w:cs="Times New Roman"/>
        </w:rPr>
        <w:t xml:space="preserve">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(указывается способ устранения рисков)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7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Приложение:</w:t>
      </w:r>
      <w:r>
        <w:rPr>
          <w:rStyle w:val="881"/>
          <w:rFonts w:ascii="Times New Roman" w:hAnsi="Times New Roman" w:cs="Times New Roman"/>
          <w:sz w:val="26"/>
          <w:szCs w:val="26"/>
        </w:rPr>
        <w:footnoteReference w:id="3"/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7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Руководитель</w:t>
      </w:r>
      <w:r>
        <w:rPr>
          <w:rStyle w:val="881"/>
          <w:rFonts w:ascii="Times New Roman" w:hAnsi="Times New Roman" w:cs="Times New Roman"/>
          <w:sz w:val="26"/>
          <w:szCs w:val="26"/>
        </w:rPr>
        <w:footnoteReference w:id="4"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________________/___________________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(для юридических лиц)</w:t>
        <w:tab/>
        <w:tab/>
        <w:tab/>
        <w:tab/>
        <w:tab/>
        <w:t xml:space="preserve"> 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(подпись)</w:t>
        <w:tab/>
        <w:t xml:space="preserve">                     (расшифровка подписи)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ab/>
        <w:tab/>
        <w:tab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left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«_____»__________________ 20___г.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  <w:tab/>
        <w:tab/>
        <w:tab/>
        <w:tab/>
        <w:tab/>
        <w:tab/>
        <w:tab/>
        <w:tab/>
        <w:t xml:space="preserve">                        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w="11906" w:h="16838" w:orient="portrait"/>
      <w:pgMar w:top="598" w:right="566" w:bottom="426" w:left="1134" w:header="284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879"/>
        <w:jc w:val="both"/>
        <w:spacing w:after="0" w:line="240" w:lineRule="auto"/>
      </w:pPr>
      <w:r>
        <w:footnoteRef/>
        <w:t xml:space="preserve">       </w:t>
      </w:r>
      <w:r>
        <w:t xml:space="preserve"> У</w:t>
      </w:r>
      <w:r>
        <w:rPr>
          <w:rFonts w:ascii="Times New Roman" w:hAnsi="Times New Roman"/>
        </w:rPr>
        <w:t xml:space="preserve">казываются конкретные положения нормативного правового акта (пункты, по</w:t>
      </w:r>
      <w:r>
        <w:rPr>
          <w:rFonts w:ascii="Times New Roman" w:hAnsi="Times New Roman"/>
        </w:rPr>
        <w:t xml:space="preserve">дпункты, абзацы), влекущие риск нарушения антимонопольного законодательства, со ссылкой на конкретные нормы антимонопольного законодательства и приведением соответствующего обоснования возможных рисков нарушения этих норм антимонопольного законодательства.</w:t>
      </w:r>
      <w:r/>
    </w:p>
  </w:footnote>
  <w:footnote w:id="3">
    <w:p>
      <w:pPr>
        <w:pStyle w:val="87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footnoteRef/>
        <w:t xml:space="preserve">      </w:t>
      </w:r>
      <w:r>
        <w:rPr>
          <w:rFonts w:ascii="Times New Roman" w:hAnsi="Times New Roman"/>
        </w:rPr>
        <w:t xml:space="preserve"> Если информация подается представителем, то к информации прилагается документ, подтверждающий полномочия представителя.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</w:footnote>
  <w:footnote w:id="4">
    <w:p>
      <w:pPr>
        <w:pStyle w:val="87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footnoteRef/>
        <w:t xml:space="preserve">      </w:t>
      </w:r>
      <w:r>
        <w:rPr>
          <w:rFonts w:ascii="Times New Roman" w:hAnsi="Times New Roman"/>
        </w:rPr>
        <w:t xml:space="preserve"> Указывается должность лица, подписавшего информацию и имеющего право действовать от имени юридического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лица без доверенности.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2">
    <w:name w:val="Heading 1"/>
    <w:basedOn w:val="870"/>
    <w:next w:val="870"/>
    <w:link w:val="69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3">
    <w:name w:val="Heading 1 Char"/>
    <w:link w:val="692"/>
    <w:uiPriority w:val="9"/>
    <w:rPr>
      <w:rFonts w:ascii="Arial" w:hAnsi="Arial" w:eastAsia="Arial" w:cs="Arial"/>
      <w:sz w:val="40"/>
      <w:szCs w:val="40"/>
    </w:rPr>
  </w:style>
  <w:style w:type="paragraph" w:styleId="694">
    <w:name w:val="Heading 2"/>
    <w:basedOn w:val="870"/>
    <w:next w:val="870"/>
    <w:link w:val="69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5">
    <w:name w:val="Heading 2 Char"/>
    <w:link w:val="694"/>
    <w:uiPriority w:val="9"/>
    <w:rPr>
      <w:rFonts w:ascii="Arial" w:hAnsi="Arial" w:eastAsia="Arial" w:cs="Arial"/>
      <w:sz w:val="34"/>
    </w:rPr>
  </w:style>
  <w:style w:type="paragraph" w:styleId="696">
    <w:name w:val="Heading 3"/>
    <w:basedOn w:val="870"/>
    <w:next w:val="870"/>
    <w:link w:val="69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7">
    <w:name w:val="Heading 3 Char"/>
    <w:link w:val="696"/>
    <w:uiPriority w:val="9"/>
    <w:rPr>
      <w:rFonts w:ascii="Arial" w:hAnsi="Arial" w:eastAsia="Arial" w:cs="Arial"/>
      <w:sz w:val="30"/>
      <w:szCs w:val="30"/>
    </w:rPr>
  </w:style>
  <w:style w:type="paragraph" w:styleId="698">
    <w:name w:val="Heading 4"/>
    <w:basedOn w:val="870"/>
    <w:next w:val="870"/>
    <w:link w:val="69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9">
    <w:name w:val="Heading 4 Char"/>
    <w:link w:val="698"/>
    <w:uiPriority w:val="9"/>
    <w:rPr>
      <w:rFonts w:ascii="Arial" w:hAnsi="Arial" w:eastAsia="Arial" w:cs="Arial"/>
      <w:b/>
      <w:bCs/>
      <w:sz w:val="26"/>
      <w:szCs w:val="26"/>
    </w:rPr>
  </w:style>
  <w:style w:type="paragraph" w:styleId="700">
    <w:name w:val="Heading 5"/>
    <w:basedOn w:val="870"/>
    <w:next w:val="870"/>
    <w:link w:val="70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1">
    <w:name w:val="Heading 5 Char"/>
    <w:link w:val="700"/>
    <w:uiPriority w:val="9"/>
    <w:rPr>
      <w:rFonts w:ascii="Arial" w:hAnsi="Arial" w:eastAsia="Arial" w:cs="Arial"/>
      <w:b/>
      <w:bCs/>
      <w:sz w:val="24"/>
      <w:szCs w:val="24"/>
    </w:rPr>
  </w:style>
  <w:style w:type="paragraph" w:styleId="702">
    <w:name w:val="Heading 6"/>
    <w:basedOn w:val="870"/>
    <w:next w:val="870"/>
    <w:link w:val="7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3">
    <w:name w:val="Heading 6 Char"/>
    <w:link w:val="702"/>
    <w:uiPriority w:val="9"/>
    <w:rPr>
      <w:rFonts w:ascii="Arial" w:hAnsi="Arial" w:eastAsia="Arial" w:cs="Arial"/>
      <w:b/>
      <w:bCs/>
      <w:sz w:val="22"/>
      <w:szCs w:val="22"/>
    </w:rPr>
  </w:style>
  <w:style w:type="paragraph" w:styleId="704">
    <w:name w:val="Heading 7"/>
    <w:basedOn w:val="870"/>
    <w:next w:val="870"/>
    <w:link w:val="70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5">
    <w:name w:val="Heading 7 Char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6">
    <w:name w:val="Heading 8"/>
    <w:basedOn w:val="870"/>
    <w:next w:val="870"/>
    <w:link w:val="7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7">
    <w:name w:val="Heading 8 Char"/>
    <w:link w:val="706"/>
    <w:uiPriority w:val="9"/>
    <w:rPr>
      <w:rFonts w:ascii="Arial" w:hAnsi="Arial" w:eastAsia="Arial" w:cs="Arial"/>
      <w:i/>
      <w:iCs/>
      <w:sz w:val="22"/>
      <w:szCs w:val="22"/>
    </w:rPr>
  </w:style>
  <w:style w:type="paragraph" w:styleId="708">
    <w:name w:val="Heading 9"/>
    <w:basedOn w:val="870"/>
    <w:next w:val="870"/>
    <w:link w:val="7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>
    <w:name w:val="Heading 9 Char"/>
    <w:link w:val="708"/>
    <w:uiPriority w:val="9"/>
    <w:rPr>
      <w:rFonts w:ascii="Arial" w:hAnsi="Arial" w:eastAsia="Arial" w:cs="Arial"/>
      <w:i/>
      <w:iCs/>
      <w:sz w:val="21"/>
      <w:szCs w:val="21"/>
    </w:rPr>
  </w:style>
  <w:style w:type="paragraph" w:styleId="710">
    <w:name w:val="List Paragraph"/>
    <w:basedOn w:val="870"/>
    <w:uiPriority w:val="34"/>
    <w:qFormat/>
    <w:pPr>
      <w:contextualSpacing/>
      <w:ind w:left="720"/>
    </w:pPr>
  </w:style>
  <w:style w:type="paragraph" w:styleId="711">
    <w:name w:val="No Spacing"/>
    <w:uiPriority w:val="1"/>
    <w:qFormat/>
    <w:pPr>
      <w:spacing w:before="0" w:after="0" w:line="240" w:lineRule="auto"/>
    </w:pPr>
  </w:style>
  <w:style w:type="paragraph" w:styleId="712">
    <w:name w:val="Title"/>
    <w:basedOn w:val="870"/>
    <w:next w:val="870"/>
    <w:link w:val="71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3">
    <w:name w:val="Title Char"/>
    <w:link w:val="712"/>
    <w:uiPriority w:val="10"/>
    <w:rPr>
      <w:sz w:val="48"/>
      <w:szCs w:val="48"/>
    </w:rPr>
  </w:style>
  <w:style w:type="paragraph" w:styleId="714">
    <w:name w:val="Subtitle"/>
    <w:basedOn w:val="870"/>
    <w:next w:val="870"/>
    <w:link w:val="715"/>
    <w:uiPriority w:val="11"/>
    <w:qFormat/>
    <w:pPr>
      <w:spacing w:before="200" w:after="200"/>
    </w:pPr>
    <w:rPr>
      <w:sz w:val="24"/>
      <w:szCs w:val="24"/>
    </w:rPr>
  </w:style>
  <w:style w:type="character" w:styleId="715">
    <w:name w:val="Subtitle Char"/>
    <w:link w:val="714"/>
    <w:uiPriority w:val="11"/>
    <w:rPr>
      <w:sz w:val="24"/>
      <w:szCs w:val="24"/>
    </w:rPr>
  </w:style>
  <w:style w:type="paragraph" w:styleId="716">
    <w:name w:val="Quote"/>
    <w:basedOn w:val="870"/>
    <w:next w:val="870"/>
    <w:link w:val="717"/>
    <w:uiPriority w:val="29"/>
    <w:qFormat/>
    <w:pPr>
      <w:ind w:left="720" w:right="720"/>
    </w:pPr>
    <w:rPr>
      <w:i/>
    </w:rPr>
  </w:style>
  <w:style w:type="character" w:styleId="717">
    <w:name w:val="Quote Char"/>
    <w:link w:val="716"/>
    <w:uiPriority w:val="29"/>
    <w:rPr>
      <w:i/>
    </w:rPr>
  </w:style>
  <w:style w:type="paragraph" w:styleId="718">
    <w:name w:val="Intense Quote"/>
    <w:basedOn w:val="870"/>
    <w:next w:val="870"/>
    <w:link w:val="71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9">
    <w:name w:val="Intense Quote Char"/>
    <w:link w:val="718"/>
    <w:uiPriority w:val="30"/>
    <w:rPr>
      <w:i/>
    </w:rPr>
  </w:style>
  <w:style w:type="paragraph" w:styleId="720">
    <w:name w:val="Header"/>
    <w:basedOn w:val="870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1">
    <w:name w:val="Header Char"/>
    <w:link w:val="720"/>
    <w:uiPriority w:val="99"/>
  </w:style>
  <w:style w:type="paragraph" w:styleId="722">
    <w:name w:val="Footer"/>
    <w:basedOn w:val="870"/>
    <w:link w:val="72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3">
    <w:name w:val="Footer Char"/>
    <w:link w:val="722"/>
    <w:uiPriority w:val="99"/>
  </w:style>
  <w:style w:type="paragraph" w:styleId="724">
    <w:name w:val="Caption"/>
    <w:basedOn w:val="870"/>
    <w:next w:val="87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5">
    <w:name w:val="Caption Char"/>
    <w:basedOn w:val="724"/>
    <w:link w:val="722"/>
    <w:uiPriority w:val="99"/>
  </w:style>
  <w:style w:type="table" w:styleId="72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2">
    <w:name w:val="Hyperlink"/>
    <w:uiPriority w:val="99"/>
    <w:unhideWhenUsed/>
    <w:rPr>
      <w:color w:val="0000ff" w:themeColor="hyperlink"/>
      <w:u w:val="single"/>
    </w:rPr>
  </w:style>
  <w:style w:type="paragraph" w:styleId="853">
    <w:name w:val="footnote text"/>
    <w:basedOn w:val="870"/>
    <w:link w:val="854"/>
    <w:uiPriority w:val="99"/>
    <w:semiHidden/>
    <w:unhideWhenUsed/>
    <w:pPr>
      <w:spacing w:after="40" w:line="240" w:lineRule="auto"/>
    </w:pPr>
    <w:rPr>
      <w:sz w:val="18"/>
    </w:rPr>
  </w:style>
  <w:style w:type="character" w:styleId="854">
    <w:name w:val="Footnote Text Char"/>
    <w:link w:val="853"/>
    <w:uiPriority w:val="99"/>
    <w:rPr>
      <w:sz w:val="18"/>
    </w:rPr>
  </w:style>
  <w:style w:type="character" w:styleId="855">
    <w:name w:val="footnote reference"/>
    <w:uiPriority w:val="99"/>
    <w:unhideWhenUsed/>
    <w:rPr>
      <w:vertAlign w:val="superscript"/>
    </w:rPr>
  </w:style>
  <w:style w:type="paragraph" w:styleId="856">
    <w:name w:val="endnote text"/>
    <w:basedOn w:val="870"/>
    <w:link w:val="857"/>
    <w:uiPriority w:val="99"/>
    <w:semiHidden/>
    <w:unhideWhenUsed/>
    <w:pPr>
      <w:spacing w:after="0" w:line="240" w:lineRule="auto"/>
    </w:pPr>
    <w:rPr>
      <w:sz w:val="20"/>
    </w:rPr>
  </w:style>
  <w:style w:type="character" w:styleId="857">
    <w:name w:val="Endnote Text Char"/>
    <w:link w:val="856"/>
    <w:uiPriority w:val="99"/>
    <w:rPr>
      <w:sz w:val="20"/>
    </w:rPr>
  </w:style>
  <w:style w:type="character" w:styleId="858">
    <w:name w:val="endnote reference"/>
    <w:uiPriority w:val="99"/>
    <w:semiHidden/>
    <w:unhideWhenUsed/>
    <w:rPr>
      <w:vertAlign w:val="superscript"/>
    </w:rPr>
  </w:style>
  <w:style w:type="paragraph" w:styleId="859">
    <w:name w:val="toc 1"/>
    <w:basedOn w:val="870"/>
    <w:next w:val="870"/>
    <w:uiPriority w:val="39"/>
    <w:unhideWhenUsed/>
    <w:pPr>
      <w:ind w:left="0" w:right="0" w:firstLine="0"/>
      <w:spacing w:after="57"/>
    </w:pPr>
  </w:style>
  <w:style w:type="paragraph" w:styleId="860">
    <w:name w:val="toc 2"/>
    <w:basedOn w:val="870"/>
    <w:next w:val="870"/>
    <w:uiPriority w:val="39"/>
    <w:unhideWhenUsed/>
    <w:pPr>
      <w:ind w:left="283" w:right="0" w:firstLine="0"/>
      <w:spacing w:after="57"/>
    </w:pPr>
  </w:style>
  <w:style w:type="paragraph" w:styleId="861">
    <w:name w:val="toc 3"/>
    <w:basedOn w:val="870"/>
    <w:next w:val="870"/>
    <w:uiPriority w:val="39"/>
    <w:unhideWhenUsed/>
    <w:pPr>
      <w:ind w:left="567" w:right="0" w:firstLine="0"/>
      <w:spacing w:after="57"/>
    </w:pPr>
  </w:style>
  <w:style w:type="paragraph" w:styleId="862">
    <w:name w:val="toc 4"/>
    <w:basedOn w:val="870"/>
    <w:next w:val="870"/>
    <w:uiPriority w:val="39"/>
    <w:unhideWhenUsed/>
    <w:pPr>
      <w:ind w:left="850" w:right="0" w:firstLine="0"/>
      <w:spacing w:after="57"/>
    </w:pPr>
  </w:style>
  <w:style w:type="paragraph" w:styleId="863">
    <w:name w:val="toc 5"/>
    <w:basedOn w:val="870"/>
    <w:next w:val="870"/>
    <w:uiPriority w:val="39"/>
    <w:unhideWhenUsed/>
    <w:pPr>
      <w:ind w:left="1134" w:right="0" w:firstLine="0"/>
      <w:spacing w:after="57"/>
    </w:pPr>
  </w:style>
  <w:style w:type="paragraph" w:styleId="864">
    <w:name w:val="toc 6"/>
    <w:basedOn w:val="870"/>
    <w:next w:val="870"/>
    <w:uiPriority w:val="39"/>
    <w:unhideWhenUsed/>
    <w:pPr>
      <w:ind w:left="1417" w:right="0" w:firstLine="0"/>
      <w:spacing w:after="57"/>
    </w:pPr>
  </w:style>
  <w:style w:type="paragraph" w:styleId="865">
    <w:name w:val="toc 7"/>
    <w:basedOn w:val="870"/>
    <w:next w:val="870"/>
    <w:uiPriority w:val="39"/>
    <w:unhideWhenUsed/>
    <w:pPr>
      <w:ind w:left="1701" w:right="0" w:firstLine="0"/>
      <w:spacing w:after="57"/>
    </w:pPr>
  </w:style>
  <w:style w:type="paragraph" w:styleId="866">
    <w:name w:val="toc 8"/>
    <w:basedOn w:val="870"/>
    <w:next w:val="870"/>
    <w:uiPriority w:val="39"/>
    <w:unhideWhenUsed/>
    <w:pPr>
      <w:ind w:left="1984" w:right="0" w:firstLine="0"/>
      <w:spacing w:after="57"/>
    </w:pPr>
  </w:style>
  <w:style w:type="paragraph" w:styleId="867">
    <w:name w:val="toc 9"/>
    <w:basedOn w:val="870"/>
    <w:next w:val="870"/>
    <w:uiPriority w:val="39"/>
    <w:unhideWhenUsed/>
    <w:pPr>
      <w:ind w:left="2268" w:right="0" w:firstLine="0"/>
      <w:spacing w:after="57"/>
    </w:pPr>
  </w:style>
  <w:style w:type="paragraph" w:styleId="868">
    <w:name w:val="TOC Heading"/>
    <w:uiPriority w:val="39"/>
    <w:unhideWhenUsed/>
  </w:style>
  <w:style w:type="paragraph" w:styleId="869">
    <w:name w:val="table of figures"/>
    <w:basedOn w:val="870"/>
    <w:next w:val="870"/>
    <w:uiPriority w:val="99"/>
    <w:unhideWhenUsed/>
    <w:pPr>
      <w:spacing w:after="0" w:afterAutospacing="0"/>
    </w:pPr>
  </w:style>
  <w:style w:type="paragraph" w:styleId="870" w:default="1">
    <w:name w:val="Normal"/>
    <w:next w:val="870"/>
    <w:link w:val="870"/>
    <w:qFormat/>
    <w:pPr>
      <w:spacing w:after="200" w:line="276" w:lineRule="auto"/>
    </w:pPr>
    <w:rPr>
      <w:sz w:val="22"/>
      <w:szCs w:val="22"/>
      <w:lang w:val="ru-RU" w:eastAsia="ru-RU" w:bidi="ar-SA"/>
    </w:rPr>
  </w:style>
  <w:style w:type="character" w:styleId="871">
    <w:name w:val="Основной шрифт абзаца"/>
    <w:next w:val="871"/>
    <w:link w:val="870"/>
    <w:uiPriority w:val="1"/>
    <w:semiHidden/>
    <w:unhideWhenUsed/>
  </w:style>
  <w:style w:type="table" w:styleId="872">
    <w:name w:val="Обычная таблица"/>
    <w:next w:val="872"/>
    <w:link w:val="870"/>
    <w:uiPriority w:val="99"/>
    <w:semiHidden/>
    <w:unhideWhenUsed/>
    <w:qFormat/>
    <w:tblPr/>
  </w:style>
  <w:style w:type="numbering" w:styleId="873">
    <w:name w:val="Нет списка"/>
    <w:next w:val="873"/>
    <w:link w:val="870"/>
    <w:uiPriority w:val="99"/>
    <w:semiHidden/>
    <w:unhideWhenUsed/>
  </w:style>
  <w:style w:type="paragraph" w:styleId="874">
    <w:name w:val="Standard"/>
    <w:next w:val="874"/>
    <w:link w:val="870"/>
    <w:qFormat/>
    <w:rPr>
      <w:rFonts w:ascii="Times New Roman" w:hAnsi="Times New Roman"/>
      <w:sz w:val="24"/>
      <w:szCs w:val="24"/>
      <w:lang w:val="ru-RU" w:eastAsia="zh-CN" w:bidi="ar-SA"/>
    </w:rPr>
  </w:style>
  <w:style w:type="paragraph" w:styleId="875">
    <w:name w:val="Обычный (веб)"/>
    <w:basedOn w:val="870"/>
    <w:next w:val="875"/>
    <w:link w:val="8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876">
    <w:name w:val="ConsPlusNormal"/>
    <w:next w:val="876"/>
    <w:link w:val="870"/>
    <w:rPr>
      <w:rFonts w:ascii="Arial" w:hAnsi="Arial" w:cs="Arial"/>
      <w:lang w:val="ru-RU" w:eastAsia="ru-RU" w:bidi="ar-SA"/>
    </w:rPr>
  </w:style>
  <w:style w:type="table" w:styleId="877">
    <w:name w:val="Сетка таблицы"/>
    <w:basedOn w:val="872"/>
    <w:next w:val="877"/>
    <w:link w:val="870"/>
    <w:uiPriority w:val="59"/>
    <w:tblPr/>
  </w:style>
  <w:style w:type="character" w:styleId="878">
    <w:name w:val="Гиперссылка"/>
    <w:next w:val="878"/>
    <w:link w:val="870"/>
    <w:uiPriority w:val="99"/>
    <w:unhideWhenUsed/>
    <w:rPr>
      <w:color w:val="0000ff"/>
      <w:u w:val="single"/>
    </w:rPr>
  </w:style>
  <w:style w:type="paragraph" w:styleId="879">
    <w:name w:val="Текст сноски"/>
    <w:basedOn w:val="870"/>
    <w:next w:val="879"/>
    <w:link w:val="880"/>
    <w:uiPriority w:val="99"/>
    <w:semiHidden/>
    <w:unhideWhenUsed/>
    <w:rPr>
      <w:sz w:val="20"/>
      <w:szCs w:val="20"/>
    </w:rPr>
  </w:style>
  <w:style w:type="character" w:styleId="880">
    <w:name w:val="Текст сноски Знак"/>
    <w:basedOn w:val="871"/>
    <w:next w:val="880"/>
    <w:link w:val="879"/>
    <w:uiPriority w:val="99"/>
    <w:semiHidden/>
  </w:style>
  <w:style w:type="character" w:styleId="881">
    <w:name w:val="Знак сноски"/>
    <w:next w:val="881"/>
    <w:link w:val="870"/>
    <w:uiPriority w:val="99"/>
    <w:semiHidden/>
    <w:unhideWhenUsed/>
    <w:rPr>
      <w:vertAlign w:val="superscript"/>
    </w:rPr>
  </w:style>
  <w:style w:type="paragraph" w:styleId="882">
    <w:name w:val="Верхний колонтитул"/>
    <w:basedOn w:val="870"/>
    <w:next w:val="882"/>
    <w:link w:val="88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3">
    <w:name w:val="Верхний колонтитул Знак"/>
    <w:next w:val="883"/>
    <w:link w:val="882"/>
    <w:uiPriority w:val="99"/>
    <w:rPr>
      <w:sz w:val="22"/>
      <w:szCs w:val="22"/>
    </w:rPr>
  </w:style>
  <w:style w:type="paragraph" w:styleId="884">
    <w:name w:val="Нижний колонтитул"/>
    <w:basedOn w:val="870"/>
    <w:next w:val="884"/>
    <w:link w:val="88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5">
    <w:name w:val="Нижний колонтитул Знак"/>
    <w:next w:val="885"/>
    <w:link w:val="884"/>
    <w:uiPriority w:val="99"/>
    <w:rPr>
      <w:sz w:val="22"/>
      <w:szCs w:val="22"/>
    </w:rPr>
  </w:style>
  <w:style w:type="character" w:styleId="886" w:default="1">
    <w:name w:val="Default Paragraph Font"/>
    <w:uiPriority w:val="1"/>
    <w:semiHidden/>
    <w:unhideWhenUsed/>
  </w:style>
  <w:style w:type="numbering" w:styleId="887" w:default="1">
    <w:name w:val="No List"/>
    <w:uiPriority w:val="99"/>
    <w:semiHidden/>
    <w:unhideWhenUsed/>
  </w:style>
  <w:style w:type="table" w:styleId="88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АГНОиПНО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отдела управления           имуществом</dc:title>
  <dc:creator>Анастасия Викторова</dc:creator>
  <cp:revision>33</cp:revision>
  <dcterms:created xsi:type="dcterms:W3CDTF">2020-01-21T09:08:00Z</dcterms:created>
  <dcterms:modified xsi:type="dcterms:W3CDTF">2025-07-24T07:11:15Z</dcterms:modified>
  <cp:version>1048576</cp:version>
</cp:coreProperties>
</file>