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bookmarkStart w:id="0" w:name="_GoBack"/>
      <w:r/>
      <w:bookmarkEnd w:id="0"/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1060"/>
        <w:tblW w:w="0" w:type="auto"/>
        <w:tblInd w:w="637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3685"/>
      </w:tblGrid>
      <w:tr>
        <w:tblPrEx/>
        <w:trPr/>
        <w:tc>
          <w:tcPr>
            <w:tcW w:w="36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департамента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имущества и земельных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отношений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от</w:t>
            </w:r>
            <w:r>
              <w:rPr>
                <w:sz w:val="28"/>
                <w:szCs w:val="28"/>
                <w:u w:val="single"/>
              </w:rPr>
              <w:t xml:space="preserve"> 02.06.2025</w:t>
            </w:r>
            <w:r>
              <w:rPr>
                <w:sz w:val="28"/>
                <w:szCs w:val="28"/>
              </w:rPr>
              <w:t xml:space="preserve"> № </w:t>
            </w:r>
            <w:r>
              <w:rPr>
                <w:sz w:val="28"/>
                <w:szCs w:val="28"/>
                <w:u w:val="single"/>
              </w:rPr>
              <w:t xml:space="preserve">1690-НПА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b/>
          <w:sz w:val="28"/>
          <w:szCs w:val="28"/>
        </w:rPr>
        <w:t xml:space="preserve">»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юридическим лицам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физическим лицам, в том числе индивидуальным предпринимателям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уполномоченным представителям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</w:t>
      </w:r>
      <w:r>
        <w:rPr>
          <w:sz w:val="28"/>
          <w:szCs w:val="28"/>
          <w:lang w:eastAsia="ru-RU"/>
        </w:rPr>
        <w:t xml:space="preserve">в результате анкетирования, проводимого органом, предоставляющим услугу (далее – профилирование)</w:t>
      </w:r>
      <w:r>
        <w:rPr>
          <w:rStyle w:val="1071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>
        <w:rPr>
          <w:sz w:val="28"/>
          <w:szCs w:val="28"/>
          <w:lang w:eastAsia="ru-RU"/>
        </w:rPr>
        <w:t xml:space="preserve">муниципальных услуг (функций)»</w:t>
      </w:r>
      <w:r>
        <w:rPr>
          <w:rStyle w:val="1071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департаментом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могут принять</w:t>
      </w:r>
      <w:r>
        <w:rPr>
          <w:sz w:val="28"/>
          <w:szCs w:val="28"/>
          <w:lang w:eastAsia="ru-RU"/>
        </w:rPr>
        <w:t xml:space="preserve"> решение об отказе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предоставлением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информация об объекте недвижимого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государственной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предоставлении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30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рабочих дней</w:t>
      </w:r>
      <w:r>
        <w:rPr>
          <w:rStyle w:val="1071"/>
          <w:sz w:val="28"/>
          <w:szCs w:val="28"/>
          <w:lang w:eastAsia="ru-RU"/>
        </w:rPr>
        <w:footnoteReference w:id="4"/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</w:t>
      </w:r>
      <w:r>
        <w:rPr>
          <w:sz w:val="28"/>
          <w:szCs w:val="28"/>
          <w:lang w:eastAsia="ru-RU"/>
        </w:rPr>
        <w:t xml:space="preserve">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  <w:t xml:space="preserve"> в сети «Интернет»,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Информационная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система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используемая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 – </w:t>
      </w:r>
      <w:r>
        <w:rPr>
          <w:sz w:val="28"/>
          <w:szCs w:val="28"/>
          <w:lang w:val="en-US"/>
        </w:rPr>
        <w:t xml:space="preserve">единая система межведомственного электронного взаимодействия</w:t>
      </w:r>
      <w:r>
        <w:rPr>
          <w:rStyle w:val="1071"/>
          <w:sz w:val="28"/>
          <w:szCs w:val="28"/>
          <w:lang w:eastAsia="ru-RU"/>
        </w:rPr>
        <w:footnoteReference w:id="5"/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предоставлением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  <w:lang w:val="en-US"/>
        </w:rPr>
        <w:t xml:space="preserve"> 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лично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  <w:lang w:val="en-US"/>
        </w:rPr>
        <w:t xml:space="preserve"> 2</w:t>
      </w:r>
      <w:r>
        <w:rPr>
          <w:sz w:val="28"/>
          <w:szCs w:val="28"/>
          <w:lang w:val="en-US"/>
        </w:rPr>
        <w:t xml:space="preserve">: 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уполномоченного представителя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  <w:lang w:val="en-US"/>
        </w:rPr>
        <w:t xml:space="preserve"> 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лицо, в том числе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лично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  <w:lang w:val="en-US"/>
        </w:rPr>
        <w:t xml:space="preserve"> 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лицо, в том числе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обращается через уполномоченного представителя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  <w:lang w:val="en-US"/>
        </w:rPr>
        <w:t xml:space="preserve"> 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физическое лицо, в том числе индивидуальный предприниматель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  <w:lang w:val="en-US"/>
        </w:rPr>
        <w:t xml:space="preserve"> 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  <w:lang w:val="en-US"/>
        </w:rPr>
        <w:t xml:space="preserve"> 7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посредством почтового отправления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Органе власти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МФЦ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106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30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информация об объекте недвижимого имущества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государственной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Прием обращений в ФГИС ЕГРН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  <w:t xml:space="preserve">запрашиваемая информация относится к имуществу, находящемуся в государственной собственности Новосибирской области и закрепленному на праве хозяйственного ведения или оперативного управления з</w:t>
      </w:r>
      <w:r>
        <w:rPr>
          <w:color w:val="000000" w:themeColor="text1"/>
          <w:sz w:val="28"/>
          <w:szCs w:val="28"/>
          <w:lang w:val="en-US"/>
        </w:rPr>
        <w:t xml:space="preserve">а унитарными пр</w:t>
      </w:r>
      <w:r>
        <w:rPr>
          <w:color w:val="000000" w:themeColor="text1"/>
          <w:sz w:val="28"/>
          <w:szCs w:val="28"/>
          <w:lang w:val="en-US"/>
        </w:rPr>
        <w:t xml:space="preserve">едприятиями Новосибирской области, оперативного управления за государственными бюджетными и автономными учреждениями Новосибирской области (в данном случае Органом власти предоставляется информация о правообладателе: наименование, адрес, контактный телефон</w:t>
      </w:r>
      <w:r>
        <w:rPr>
          <w:color w:val="000000" w:themeColor="text1"/>
          <w:sz w:val="28"/>
          <w:szCs w:val="28"/>
          <w:lang w:val="en-US"/>
        </w:rPr>
        <w:t xml:space="preserve">);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запрашиваемое имущество находится в обременении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заявителем информация относится к информации ограниченного доступа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заявителем информация не относится к информации об имуществе, находящемся в государственной собственности Новосибирской области и предназначенном для сдачи в аренду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запроса не позволяет установить запрашиваемую информацию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запросе ставится вопрос о правовой оценке актов, принятых государственным органом, органом местного самоуправления, проведении анализа деятел</w:t>
      </w:r>
      <w:r>
        <w:rPr>
          <w:sz w:val="28"/>
          <w:szCs w:val="28"/>
          <w:lang w:val="en-US"/>
        </w:rPr>
        <w:t xml:space="preserve">ьности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информация ранее предоставлялась пользователю информацией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информация об объекте недвижимого имущества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государственной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106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30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информация об объекте недвижимого имущества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государственной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Прием обращений в ФГИС ЕГРН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  <w:t xml:space="preserve">запрашиваемая информация относится к имуществу, находящемуся в государственной собственности Новосибирской области и закрепленному на праве хозяйственного ведения или оперативного управления з</w:t>
      </w:r>
      <w:r>
        <w:rPr>
          <w:color w:val="000000" w:themeColor="text1"/>
          <w:sz w:val="28"/>
          <w:szCs w:val="28"/>
          <w:lang w:val="en-US"/>
        </w:rPr>
        <w:t xml:space="preserve">а унитарными пр</w:t>
      </w:r>
      <w:r>
        <w:rPr>
          <w:color w:val="000000" w:themeColor="text1"/>
          <w:sz w:val="28"/>
          <w:szCs w:val="28"/>
          <w:lang w:val="en-US"/>
        </w:rPr>
        <w:t xml:space="preserve">едприятиями Новосибирской области, оперативного управления за государственными бюджетными и автономными учреждениями Новосибирской области (в данном случае Органом власти предоставляется информация о правообладателе: наименование, адрес, контактный телефон</w:t>
      </w:r>
      <w:r>
        <w:rPr>
          <w:color w:val="000000" w:themeColor="text1"/>
          <w:sz w:val="28"/>
          <w:szCs w:val="28"/>
          <w:lang w:val="en-US"/>
        </w:rPr>
        <w:t xml:space="preserve">);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запрашиваемое имущество находится в обременении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заявителем информация относится к информации ограниченного доступа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заявителем информация не относится к информации об имуществе, находящемся в государственной собственности Новосибирской области и предназначенном для сдачи в аренду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запроса не позволяет установить запрашиваемую информацию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запросе ставится вопрос о правовой оценке актов, принятых государственным органом, органом местного самоуправления, проведении анализа деятел</w:t>
      </w:r>
      <w:r>
        <w:rPr>
          <w:sz w:val="28"/>
          <w:szCs w:val="28"/>
          <w:lang w:val="en-US"/>
        </w:rPr>
        <w:t xml:space="preserve">ьности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информация ранее предоставлялась пользователю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подача заявления (запроса) от имени заявителя не уполномоченным на то лицом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информация об объекте недвижимого имущества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государственной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106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30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информация об объекте недвижимого имущества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государственной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Прием обращений в ФГИС ЕГРН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  <w:t xml:space="preserve">запрашиваемая информация относится к имуществу, находящемуся в государственной собственности Новосибирской области и закрепленному на праве хозяйственного ведения или оперативного управления з</w:t>
      </w:r>
      <w:r>
        <w:rPr>
          <w:color w:val="000000" w:themeColor="text1"/>
          <w:sz w:val="28"/>
          <w:szCs w:val="28"/>
          <w:lang w:val="en-US"/>
        </w:rPr>
        <w:t xml:space="preserve">а унитарными пр</w:t>
      </w:r>
      <w:r>
        <w:rPr>
          <w:color w:val="000000" w:themeColor="text1"/>
          <w:sz w:val="28"/>
          <w:szCs w:val="28"/>
          <w:lang w:val="en-US"/>
        </w:rPr>
        <w:t xml:space="preserve">едприятиями Новосибирской области, оперативного управления за государственными бюджетными и автономными учреждениями Новосибирской области (в данном случае Органом власти предоставляется информация о правообладателе: наименование, адрес, контактный телефон</w:t>
      </w:r>
      <w:r>
        <w:rPr>
          <w:color w:val="000000" w:themeColor="text1"/>
          <w:sz w:val="28"/>
          <w:szCs w:val="28"/>
          <w:lang w:val="en-US"/>
        </w:rPr>
        <w:t xml:space="preserve">);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запрашиваемое имущество находится в обременении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заявителем информация относится к информации ограниченного доступа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заявителем информация не относится к информации об имуществе, находящемся в государственной собственности Новосибирской области и предназначенном для сдачи в аренду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запроса не позволяет установить запрашиваемую информацию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запросе ставится вопрос о правовой оценке актов, принятых государственным органом, органом местного самоуправления, проведении анализа деятел</w:t>
      </w:r>
      <w:r>
        <w:rPr>
          <w:sz w:val="28"/>
          <w:szCs w:val="28"/>
          <w:lang w:val="en-US"/>
        </w:rPr>
        <w:t xml:space="preserve">ьности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информация ранее предоставлялась пользователю информацией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информация об объекте недвижимого имущества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государственной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106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30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информация об объекте недвижимого имущества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государственной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документ, удостоверяющий личность заявителя, не представлен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нахождения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личный кабинет заявителя на официальном сайте Органа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запрос</w:t>
      </w:r>
      <w:r>
        <w:rPr>
          <w:sz w:val="28"/>
          <w:szCs w:val="28"/>
        </w:rPr>
        <w:t xml:space="preserve">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«</w:t>
      </w:r>
      <w:r>
        <w:rPr>
          <w:sz w:val="28"/>
          <w:szCs w:val="28"/>
          <w:lang w:val="en-US"/>
        </w:rPr>
        <w:t xml:space="preserve">Прием обращений в ФГИС ЕГРН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color w:val="000000" w:themeColor="text1"/>
          <w:sz w:val="28"/>
          <w:szCs w:val="28"/>
          <w:lang w:val="en-US"/>
        </w:rPr>
        <w:t xml:space="preserve">запрашиваемая информация относится к имуществу, находящемуся в государственной собственности Новосибирской области и закрепленному на праве хозяйственного ведения или оперативного управления з</w:t>
      </w:r>
      <w:r>
        <w:rPr>
          <w:color w:val="000000" w:themeColor="text1"/>
          <w:sz w:val="28"/>
          <w:szCs w:val="28"/>
          <w:lang w:val="en-US"/>
        </w:rPr>
        <w:t xml:space="preserve">а унитарными пр</w:t>
      </w:r>
      <w:r>
        <w:rPr>
          <w:color w:val="000000" w:themeColor="text1"/>
          <w:sz w:val="28"/>
          <w:szCs w:val="28"/>
          <w:lang w:val="en-US"/>
        </w:rPr>
        <w:t xml:space="preserve">едприятиями Новосибирской области, оперативного управления за государственными бюджетными и автономными учреждениями Новосибирской области (в данном случае Органом власти предоставляется информация о правообладателе: наименование, адрес, контактный телефон</w:t>
      </w:r>
      <w:r>
        <w:rPr>
          <w:color w:val="000000" w:themeColor="text1"/>
          <w:sz w:val="28"/>
          <w:szCs w:val="28"/>
          <w:lang w:val="en-US"/>
        </w:rPr>
        <w:t xml:space="preserve">);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запрашиваемое имущество находится в обременении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заявителем информация относится к информации ограниченного доступа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заявителем информация не относится к информации об имуществе, находящемся в государственной собственности Новосибирской области и предназначенном для сдачи в аренду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содержание запроса не позволяет установить запрашиваемую информацию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запросе ставится вопрос о правовой оценке актов, принятых государственным органом, органом местного самоуправления, проведении анализа деятел</w:t>
      </w:r>
      <w:r>
        <w:rPr>
          <w:sz w:val="28"/>
          <w:szCs w:val="28"/>
          <w:lang w:val="en-US"/>
        </w:rPr>
        <w:t xml:space="preserve">ьности государственного органа, его территориальных органов,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запрашиваемая информация ранее предоставлялась пользователю информацией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подача заявления (запроса) от имени заявителя не уполномоченным на то лицом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информация об объекте недвижимого имущества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государственной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106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 заявителя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106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копия и 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заявителя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следующих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оснований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личность заявителя не подтверждена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не представлен документ, подтверждающий полномочия представителя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1061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9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</w:t>
      </w:r>
      <w:r>
        <w:rPr>
          <w:sz w:val="28"/>
          <w:szCs w:val="28"/>
          <w:lang w:eastAsia="ru-RU"/>
        </w:rPr>
        <w:t xml:space="preserve">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уполномоченным руководителем (заместителем руководителя)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  <w:lang w:eastAsia="ru-RU"/>
        </w:rPr>
        <w:t xml:space="preserve">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внеплановые</w:t>
      </w:r>
      <w:r>
        <w:rPr>
          <w:sz w:val="28"/>
          <w:szCs w:val="28"/>
          <w:lang w:val="en-US" w:eastAsia="ru-RU"/>
        </w:rPr>
        <w:t xml:space="preserve"> –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</w:t>
      </w:r>
      <w:r>
        <w:rPr>
          <w:sz w:val="28"/>
          <w:szCs w:val="28"/>
          <w:lang w:eastAsia="ru-RU"/>
        </w:rPr>
        <w:t xml:space="preserve">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официальном сайте Органа власти в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информационных стендах в местах предоставления Услуги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(www.gosuslugi.ru)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через портал Федеральной государственной информационной системы «Досудебное обжалование» http://do.gosuslugi.ru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официального сайта МФЦ в сети "Интернет"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Единого портала</w:t>
      </w:r>
      <w:r>
        <w:rPr>
          <w:sz w:val="28"/>
          <w:szCs w:val="28"/>
        </w:rPr>
        <w:t xml:space="preserve">.</w:t>
      </w:r>
      <w:r>
        <w:t xml:space="preserve"> 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  <w:t xml:space="preserve">путем направления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личном обращении 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2"/>
        <w:ind w:left="6237"/>
        <w:jc w:val="lef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2"/>
        <w:ind w:left="623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утвержденному приказом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имущества и земельных отношений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2"/>
        <w:ind w:left="6237"/>
        <w:jc w:val="left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072"/>
        <w:ind w:left="6237"/>
        <w:jc w:val="left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</w:rPr>
        <w:t xml:space="preserve">от_________№________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072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spacing w:after="24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before="2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Style w:val="1059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blPrEx/>
        <w:trPr>
          <w:trHeight w:val="567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tcW w:w="893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iCs/>
                <w:szCs w:val="20"/>
                <w:lang w:eastAsia="ru-RU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лично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уполномоченного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лицо, в том числе 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лично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лицо, в том числе индивидуальный предприниматель</w:t>
            </w:r>
            <w:r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обращается через уполномоченного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iCs/>
                <w:szCs w:val="20"/>
                <w:lang w:eastAsia="ru-RU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Физическое лицо, в том числе индивидуальный предприниматель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  <w:r>
              <w:rPr>
                <w:b/>
                <w:bCs/>
                <w:szCs w:val="20"/>
                <w:lang w:eastAsia="ru-RU"/>
              </w:rPr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лицо, в том числе индивидуальный предприниматель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Заявитель обращается лично или через представителя?</w:t>
            </w:r>
            <w:r>
              <w:rPr>
                <w:b/>
                <w:bCs/>
                <w:szCs w:val="20"/>
                <w:lang w:val="en-US" w:eastAsia="ru-RU"/>
              </w:rPr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Обращается лично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Обращается через уполномоченного представителя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Физическое лицо, в том числе индивидуальный предприниматель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1058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8"/>
          <w:szCs w:val="28"/>
          <w:lang w:val="en-US" w:eastAsia="ru-RU"/>
        </w:rPr>
        <w:br w:type="page" w:clear="all"/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072"/>
        <w:ind w:left="6237"/>
        <w:rPr>
          <w:sz w:val="28"/>
          <w:szCs w:val="28"/>
          <w:lang w:val="en-US"/>
        </w:rPr>
        <w:outlineLvl w:val="0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072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регламенту, утвержденному приказом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имущества и земельных отношений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72"/>
        <w:ind w:left="6237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072"/>
        <w:ind w:left="6237"/>
        <w:rPr>
          <w:sz w:val="28"/>
          <w:szCs w:val="28"/>
          <w:highlight w:val="none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</w:rPr>
        <w:t xml:space="preserve">от_________№________</w:t>
      </w: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pStyle w:val="1072"/>
        <w:ind w:left="623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Способы уведомления о ходе предоставления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телефону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Способы уведомления о ходе предоставления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телефону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Способы уведомления о ходе предоставления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телефону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запрашиваемом имуществе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объекта недвижимости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характеристики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Способы уведомления о ходе предоставления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электронной почте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 телефону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__.</w:t>
      </w:r>
      <w:r>
        <w:rPr>
          <w:sz w:val="24"/>
          <w:szCs w:val="24"/>
          <w:lang w:val="en-US"/>
        </w:rPr>
        <w:t xml:space="preserve">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pStyle w:val="1058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  <w:t xml:space="preserve"> </w:t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1058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5</w:t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7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Предоставление информации об объектах недвижимого имущества, находящихся в государственной собственности Новосибирской области и предназначенных для сдачи в аренду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9734898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53431053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9734898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53431053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9734898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53431053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40504090204"/>
  </w:font>
  <w:font w:name="Yu Gothic Light">
    <w:panose1 w:val="00000709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69"/>
        <w:jc w:val="both"/>
      </w:pPr>
      <w:r>
        <w:rPr>
          <w:rStyle w:val="1071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  <w:r/>
    </w:p>
  </w:footnote>
  <w:footnote w:id="3">
    <w:p>
      <w:pPr>
        <w:pStyle w:val="1069"/>
        <w:jc w:val="both"/>
      </w:pPr>
      <w:r>
        <w:rPr>
          <w:rStyle w:val="1071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  <w:r/>
    </w:p>
  </w:footnote>
  <w:footnote w:id="4"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rStyle w:val="1071"/>
          <w:szCs w:val="20"/>
          <w:lang w:eastAsia="ru-RU"/>
        </w:rPr>
        <w:footnoteRef/>
      </w:r>
      <w:r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в указанный срок включается процедура продления предоставления государственной услуги не более чем на 10 рабочих дней, в случае если</w:t>
      </w:r>
      <w:r>
        <w:rPr>
          <w:szCs w:val="20"/>
          <w:lang w:val="en-US"/>
        </w:rPr>
        <w:t xml:space="preserve"> предоставление информации невозможно в срок двадцать рабочих дней, в соответствии с пунктом 6 статьи 18 Федерального закона от 09.02.2009 № 8-ФЗ "Об обеспечении доступа к информации о деятельности государственных органов и органов местного самоуправления"</w:t>
      </w:r>
      <w:r>
        <w:rPr>
          <w:szCs w:val="20"/>
          <w:lang w:val="en-US"/>
        </w:rPr>
        <w:t xml:space="preserve">.</w:t>
      </w:r>
      <w:r>
        <w:rPr>
          <w:szCs w:val="20"/>
          <w:lang w:val="en-US"/>
        </w:rPr>
      </w:r>
      <w:r>
        <w:rPr>
          <w:szCs w:val="20"/>
          <w:lang w:val="en-US"/>
        </w:rPr>
      </w:r>
    </w:p>
  </w:footnote>
  <w:footnote w:id="5">
    <w:p>
      <w:pPr>
        <w:jc w:val="both"/>
        <w:rPr>
          <w:szCs w:val="20"/>
        </w:rPr>
      </w:pPr>
      <w:r>
        <w:rPr>
          <w:rStyle w:val="1071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 xml:space="preserve">ктронного взаимодействия»</w:t>
      </w:r>
      <w:r>
        <w:rPr>
          <w:color w:val="000000"/>
          <w:szCs w:val="20"/>
        </w:rPr>
        <w:t xml:space="preserve">.</w:t>
      </w:r>
      <w:r>
        <w:rPr>
          <w:szCs w:val="20"/>
        </w:rPr>
      </w:r>
      <w:r>
        <w:rPr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106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10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2"/>
      <w:jc w:val="center"/>
    </w:pPr>
    <w:r/>
    <w:r/>
  </w:p>
  <w:p>
    <w:pPr>
      <w:pStyle w:val="10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5">
    <w:name w:val="Heading 1 Char"/>
    <w:basedOn w:val="1048"/>
    <w:link w:val="1077"/>
    <w:uiPriority w:val="9"/>
    <w:rPr>
      <w:rFonts w:ascii="Arial" w:hAnsi="Arial" w:eastAsia="Arial" w:cs="Arial"/>
      <w:sz w:val="40"/>
      <w:szCs w:val="40"/>
    </w:rPr>
  </w:style>
  <w:style w:type="character" w:styleId="886">
    <w:name w:val="Heading 2 Char"/>
    <w:basedOn w:val="1048"/>
    <w:link w:val="1078"/>
    <w:uiPriority w:val="9"/>
    <w:rPr>
      <w:rFonts w:ascii="Arial" w:hAnsi="Arial" w:eastAsia="Arial" w:cs="Arial"/>
      <w:sz w:val="34"/>
    </w:rPr>
  </w:style>
  <w:style w:type="character" w:styleId="887">
    <w:name w:val="Heading 3 Char"/>
    <w:basedOn w:val="1048"/>
    <w:link w:val="1079"/>
    <w:uiPriority w:val="9"/>
    <w:rPr>
      <w:rFonts w:ascii="Arial" w:hAnsi="Arial" w:eastAsia="Arial" w:cs="Arial"/>
      <w:sz w:val="30"/>
      <w:szCs w:val="30"/>
    </w:rPr>
  </w:style>
  <w:style w:type="character" w:styleId="888">
    <w:name w:val="Heading 4 Char"/>
    <w:basedOn w:val="1048"/>
    <w:link w:val="1080"/>
    <w:uiPriority w:val="9"/>
    <w:rPr>
      <w:rFonts w:ascii="Arial" w:hAnsi="Arial" w:eastAsia="Arial" w:cs="Arial"/>
      <w:b/>
      <w:bCs/>
      <w:sz w:val="26"/>
      <w:szCs w:val="26"/>
    </w:rPr>
  </w:style>
  <w:style w:type="character" w:styleId="889">
    <w:name w:val="Heading 5 Char"/>
    <w:basedOn w:val="1048"/>
    <w:link w:val="1081"/>
    <w:uiPriority w:val="9"/>
    <w:rPr>
      <w:rFonts w:ascii="Arial" w:hAnsi="Arial" w:eastAsia="Arial" w:cs="Arial"/>
      <w:b/>
      <w:bCs/>
      <w:sz w:val="24"/>
      <w:szCs w:val="24"/>
    </w:rPr>
  </w:style>
  <w:style w:type="character" w:styleId="890">
    <w:name w:val="Heading 6 Char"/>
    <w:basedOn w:val="1048"/>
    <w:link w:val="1082"/>
    <w:uiPriority w:val="9"/>
    <w:rPr>
      <w:rFonts w:ascii="Arial" w:hAnsi="Arial" w:eastAsia="Arial" w:cs="Arial"/>
      <w:b/>
      <w:bCs/>
      <w:sz w:val="22"/>
      <w:szCs w:val="22"/>
    </w:rPr>
  </w:style>
  <w:style w:type="paragraph" w:styleId="891">
    <w:name w:val="Heading 7"/>
    <w:basedOn w:val="1047"/>
    <w:next w:val="1047"/>
    <w:link w:val="8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2">
    <w:name w:val="Heading 7 Char"/>
    <w:basedOn w:val="1048"/>
    <w:link w:val="8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3">
    <w:name w:val="Heading 8"/>
    <w:basedOn w:val="1047"/>
    <w:next w:val="1047"/>
    <w:link w:val="8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4">
    <w:name w:val="Heading 8 Char"/>
    <w:basedOn w:val="1048"/>
    <w:link w:val="893"/>
    <w:uiPriority w:val="9"/>
    <w:rPr>
      <w:rFonts w:ascii="Arial" w:hAnsi="Arial" w:eastAsia="Arial" w:cs="Arial"/>
      <w:i/>
      <w:iCs/>
      <w:sz w:val="22"/>
      <w:szCs w:val="22"/>
    </w:rPr>
  </w:style>
  <w:style w:type="paragraph" w:styleId="895">
    <w:name w:val="Heading 9"/>
    <w:basedOn w:val="1047"/>
    <w:next w:val="1047"/>
    <w:link w:val="8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6">
    <w:name w:val="Heading 9 Char"/>
    <w:basedOn w:val="1048"/>
    <w:link w:val="895"/>
    <w:uiPriority w:val="9"/>
    <w:rPr>
      <w:rFonts w:ascii="Arial" w:hAnsi="Arial" w:eastAsia="Arial" w:cs="Arial"/>
      <w:i/>
      <w:iCs/>
      <w:sz w:val="21"/>
      <w:szCs w:val="21"/>
    </w:rPr>
  </w:style>
  <w:style w:type="paragraph" w:styleId="897">
    <w:name w:val="Title"/>
    <w:basedOn w:val="1047"/>
    <w:next w:val="1047"/>
    <w:link w:val="8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98">
    <w:name w:val="Title Char"/>
    <w:basedOn w:val="1048"/>
    <w:link w:val="897"/>
    <w:uiPriority w:val="10"/>
    <w:rPr>
      <w:sz w:val="48"/>
      <w:szCs w:val="48"/>
    </w:rPr>
  </w:style>
  <w:style w:type="paragraph" w:styleId="899">
    <w:name w:val="Subtitle"/>
    <w:basedOn w:val="1047"/>
    <w:next w:val="1047"/>
    <w:link w:val="900"/>
    <w:uiPriority w:val="11"/>
    <w:qFormat/>
    <w:pPr>
      <w:spacing w:before="200" w:after="200"/>
    </w:pPr>
    <w:rPr>
      <w:sz w:val="24"/>
      <w:szCs w:val="24"/>
    </w:rPr>
  </w:style>
  <w:style w:type="character" w:styleId="900">
    <w:name w:val="Subtitle Char"/>
    <w:basedOn w:val="1048"/>
    <w:link w:val="899"/>
    <w:uiPriority w:val="11"/>
    <w:rPr>
      <w:sz w:val="24"/>
      <w:szCs w:val="24"/>
    </w:rPr>
  </w:style>
  <w:style w:type="paragraph" w:styleId="901">
    <w:name w:val="Quote"/>
    <w:basedOn w:val="1047"/>
    <w:next w:val="1047"/>
    <w:link w:val="902"/>
    <w:uiPriority w:val="29"/>
    <w:qFormat/>
    <w:pPr>
      <w:ind w:left="720" w:right="720"/>
    </w:pPr>
    <w:rPr>
      <w:i/>
    </w:rPr>
  </w:style>
  <w:style w:type="character" w:styleId="902">
    <w:name w:val="Quote Char"/>
    <w:link w:val="901"/>
    <w:uiPriority w:val="29"/>
    <w:rPr>
      <w:i/>
    </w:rPr>
  </w:style>
  <w:style w:type="paragraph" w:styleId="903">
    <w:name w:val="Intense Quote"/>
    <w:basedOn w:val="1047"/>
    <w:next w:val="1047"/>
    <w:link w:val="9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4">
    <w:name w:val="Intense Quote Char"/>
    <w:link w:val="903"/>
    <w:uiPriority w:val="30"/>
    <w:rPr>
      <w:i/>
    </w:rPr>
  </w:style>
  <w:style w:type="character" w:styleId="905">
    <w:name w:val="Header Char"/>
    <w:basedOn w:val="1048"/>
    <w:link w:val="1062"/>
    <w:uiPriority w:val="99"/>
  </w:style>
  <w:style w:type="character" w:styleId="906">
    <w:name w:val="Footer Char"/>
    <w:basedOn w:val="1048"/>
    <w:link w:val="1064"/>
    <w:uiPriority w:val="99"/>
  </w:style>
  <w:style w:type="paragraph" w:styleId="907">
    <w:name w:val="Caption"/>
    <w:basedOn w:val="1047"/>
    <w:next w:val="10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08">
    <w:name w:val="Caption Char"/>
    <w:basedOn w:val="907"/>
    <w:link w:val="1064"/>
    <w:uiPriority w:val="99"/>
  </w:style>
  <w:style w:type="table" w:styleId="909">
    <w:name w:val="Table Grid Light"/>
    <w:basedOn w:val="10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>
    <w:name w:val="Plain Table 1"/>
    <w:basedOn w:val="10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1">
    <w:name w:val="Plain Table 2"/>
    <w:basedOn w:val="10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2">
    <w:name w:val="Plain Table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3">
    <w:name w:val="Plain Table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Plain Table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5">
    <w:name w:val="Grid Table 1 Light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Grid Table 1 Light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Grid Table 1 Light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Grid Table 1 Light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Grid Table 1 Light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Grid Table 1 Light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Grid Table 1 Light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2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2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2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2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2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2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3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Grid Table 3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Grid Table 3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Grid Table 3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Grid Table 3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Grid Table 3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4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7">
    <w:name w:val="Grid Table 4 - Accent 1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38">
    <w:name w:val="Grid Table 4 - Accent 2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39">
    <w:name w:val="Grid Table 4 - Accent 3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40">
    <w:name w:val="Grid Table 4 - Accent 4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41">
    <w:name w:val="Grid Table 4 - Accent 5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42">
    <w:name w:val="Grid Table 4 - Accent 6"/>
    <w:basedOn w:val="10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43">
    <w:name w:val="Grid Table 5 Dark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44">
    <w:name w:val="Grid Table 5 Dark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45">
    <w:name w:val="Grid Table 5 Dark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46">
    <w:name w:val="Grid Table 5 Dark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47">
    <w:name w:val="Grid Table 5 Dark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48">
    <w:name w:val="Grid Table 5 Dark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49">
    <w:name w:val="Grid Table 5 Dark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50">
    <w:name w:val="Grid Table 6 Colorful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51">
    <w:name w:val="Grid Table 6 Colorful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52">
    <w:name w:val="Grid Table 6 Colorful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53">
    <w:name w:val="Grid Table 6 Colorful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54">
    <w:name w:val="Grid Table 6 Colorful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5">
    <w:name w:val="Grid Table 6 Colorful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6">
    <w:name w:val="Grid Table 6 Colorful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7">
    <w:name w:val="Grid Table 7 Colorful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7 Colorful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7 Colorful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7 Colorful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7 Colorful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7 Colorful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7 Colorful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1 Light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List Table 1 Light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List Table 1 Light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List Table 1 Light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72">
    <w:name w:val="List Table 2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73">
    <w:name w:val="List Table 2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74">
    <w:name w:val="List Table 2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75">
    <w:name w:val="List Table 2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76">
    <w:name w:val="List Table 2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77">
    <w:name w:val="List Table 2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78">
    <w:name w:val="List Table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>
    <w:name w:val="List Table 3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>
    <w:name w:val="List Table 3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List Table 3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>
    <w:name w:val="List Table 3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>
    <w:name w:val="List Table 3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>
    <w:name w:val="List Table 3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List Table 4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>
    <w:name w:val="List Table 4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List Table 4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List Table 4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List Table 4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List Table 4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5 Dark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3">
    <w:name w:val="List Table 5 Dark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4">
    <w:name w:val="List Table 5 Dark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5">
    <w:name w:val="List Table 5 Dark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6">
    <w:name w:val="List Table 5 Dark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7">
    <w:name w:val="List Table 5 Dark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8">
    <w:name w:val="List Table 5 Dark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99">
    <w:name w:val="List Table 6 Colorful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00">
    <w:name w:val="List Table 6 Colorful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01">
    <w:name w:val="List Table 6 Colorful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02">
    <w:name w:val="List Table 6 Colorful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03">
    <w:name w:val="List Table 6 Colorful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04">
    <w:name w:val="List Table 6 Colorful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05">
    <w:name w:val="List Table 6 Colorful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06">
    <w:name w:val="List Table 7 Colorful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07">
    <w:name w:val="List Table 7 Colorful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08">
    <w:name w:val="List Table 7 Colorful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09">
    <w:name w:val="List Table 7 Colorful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10">
    <w:name w:val="List Table 7 Colorful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11">
    <w:name w:val="List Table 7 Colorful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12">
    <w:name w:val="List Table 7 Colorful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13">
    <w:name w:val="Lined - Accent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14">
    <w:name w:val="Lined - Accent 1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15">
    <w:name w:val="Lined - Accent 2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16">
    <w:name w:val="Lined - Accent 3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17">
    <w:name w:val="Lined - Accent 4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18">
    <w:name w:val="Lined - Accent 5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19">
    <w:name w:val="Lined - Accent 6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0">
    <w:name w:val="Bordered &amp; Lined - Accent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1">
    <w:name w:val="Bordered &amp; Lined - Accent 1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22">
    <w:name w:val="Bordered &amp; Lined - Accent 2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23">
    <w:name w:val="Bordered &amp; Lined - Accent 3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24">
    <w:name w:val="Bordered &amp; Lined - Accent 4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25">
    <w:name w:val="Bordered &amp; Lined - Accent 5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26">
    <w:name w:val="Bordered &amp; Lined - Accent 6"/>
    <w:basedOn w:val="10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27">
    <w:name w:val="Bordered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28">
    <w:name w:val="Bordered - Accent 1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29">
    <w:name w:val="Bordered - Accent 2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30">
    <w:name w:val="Bordered - Accent 3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31">
    <w:name w:val="Bordered - Accent 4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32">
    <w:name w:val="Bordered - Accent 5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33">
    <w:name w:val="Bordered - Accent 6"/>
    <w:basedOn w:val="10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34">
    <w:name w:val="Footnote Text Char"/>
    <w:link w:val="1069"/>
    <w:uiPriority w:val="99"/>
    <w:rPr>
      <w:sz w:val="18"/>
    </w:rPr>
  </w:style>
  <w:style w:type="character" w:styleId="1035">
    <w:name w:val="Endnote Text Char"/>
    <w:link w:val="1066"/>
    <w:uiPriority w:val="99"/>
    <w:rPr>
      <w:sz w:val="20"/>
    </w:rPr>
  </w:style>
  <w:style w:type="paragraph" w:styleId="1036">
    <w:name w:val="toc 1"/>
    <w:basedOn w:val="1047"/>
    <w:next w:val="1047"/>
    <w:uiPriority w:val="39"/>
    <w:unhideWhenUsed/>
    <w:pPr>
      <w:ind w:left="0" w:right="0" w:firstLine="0"/>
      <w:spacing w:after="57"/>
    </w:pPr>
  </w:style>
  <w:style w:type="paragraph" w:styleId="1037">
    <w:name w:val="toc 2"/>
    <w:basedOn w:val="1047"/>
    <w:next w:val="1047"/>
    <w:uiPriority w:val="39"/>
    <w:unhideWhenUsed/>
    <w:pPr>
      <w:ind w:left="283" w:right="0" w:firstLine="0"/>
      <w:spacing w:after="57"/>
    </w:pPr>
  </w:style>
  <w:style w:type="paragraph" w:styleId="1038">
    <w:name w:val="toc 3"/>
    <w:basedOn w:val="1047"/>
    <w:next w:val="1047"/>
    <w:uiPriority w:val="39"/>
    <w:unhideWhenUsed/>
    <w:pPr>
      <w:ind w:left="567" w:right="0" w:firstLine="0"/>
      <w:spacing w:after="57"/>
    </w:pPr>
  </w:style>
  <w:style w:type="paragraph" w:styleId="1039">
    <w:name w:val="toc 4"/>
    <w:basedOn w:val="1047"/>
    <w:next w:val="1047"/>
    <w:uiPriority w:val="39"/>
    <w:unhideWhenUsed/>
    <w:pPr>
      <w:ind w:left="850" w:right="0" w:firstLine="0"/>
      <w:spacing w:after="57"/>
    </w:pPr>
  </w:style>
  <w:style w:type="paragraph" w:styleId="1040">
    <w:name w:val="toc 5"/>
    <w:basedOn w:val="1047"/>
    <w:next w:val="1047"/>
    <w:uiPriority w:val="39"/>
    <w:unhideWhenUsed/>
    <w:pPr>
      <w:ind w:left="1134" w:right="0" w:firstLine="0"/>
      <w:spacing w:after="57"/>
    </w:pPr>
  </w:style>
  <w:style w:type="paragraph" w:styleId="1041">
    <w:name w:val="toc 6"/>
    <w:basedOn w:val="1047"/>
    <w:next w:val="1047"/>
    <w:uiPriority w:val="39"/>
    <w:unhideWhenUsed/>
    <w:pPr>
      <w:ind w:left="1417" w:right="0" w:firstLine="0"/>
      <w:spacing w:after="57"/>
    </w:pPr>
  </w:style>
  <w:style w:type="paragraph" w:styleId="1042">
    <w:name w:val="toc 7"/>
    <w:basedOn w:val="1047"/>
    <w:next w:val="1047"/>
    <w:uiPriority w:val="39"/>
    <w:unhideWhenUsed/>
    <w:pPr>
      <w:ind w:left="1701" w:right="0" w:firstLine="0"/>
      <w:spacing w:after="57"/>
    </w:pPr>
  </w:style>
  <w:style w:type="paragraph" w:styleId="1043">
    <w:name w:val="toc 8"/>
    <w:basedOn w:val="1047"/>
    <w:next w:val="1047"/>
    <w:uiPriority w:val="39"/>
    <w:unhideWhenUsed/>
    <w:pPr>
      <w:ind w:left="1984" w:right="0" w:firstLine="0"/>
      <w:spacing w:after="57"/>
    </w:pPr>
  </w:style>
  <w:style w:type="paragraph" w:styleId="1044">
    <w:name w:val="toc 9"/>
    <w:basedOn w:val="1047"/>
    <w:next w:val="1047"/>
    <w:uiPriority w:val="39"/>
    <w:unhideWhenUsed/>
    <w:pPr>
      <w:ind w:left="2268" w:right="0" w:firstLine="0"/>
      <w:spacing w:after="57"/>
    </w:pPr>
  </w:style>
  <w:style w:type="paragraph" w:styleId="1045">
    <w:name w:val="TOC Heading"/>
    <w:uiPriority w:val="39"/>
    <w:unhideWhenUsed/>
  </w:style>
  <w:style w:type="paragraph" w:styleId="1046">
    <w:name w:val="table of figures"/>
    <w:basedOn w:val="1047"/>
    <w:next w:val="1047"/>
    <w:uiPriority w:val="99"/>
    <w:unhideWhenUsed/>
    <w:pPr>
      <w:spacing w:after="0" w:afterAutospacing="0"/>
    </w:pPr>
  </w:style>
  <w:style w:type="paragraph" w:styleId="1047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1048" w:default="1">
    <w:name w:val="Default Paragraph Font"/>
    <w:uiPriority w:val="1"/>
    <w:semiHidden/>
    <w:unhideWhenUsed/>
  </w:style>
  <w:style w:type="table" w:styleId="10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50" w:default="1">
    <w:name w:val="No List"/>
    <w:uiPriority w:val="99"/>
    <w:semiHidden/>
    <w:unhideWhenUsed/>
  </w:style>
  <w:style w:type="character" w:styleId="1051">
    <w:name w:val="annotation reference"/>
    <w:uiPriority w:val="99"/>
    <w:rPr>
      <w:sz w:val="16"/>
      <w:szCs w:val="16"/>
    </w:rPr>
  </w:style>
  <w:style w:type="paragraph" w:styleId="1052">
    <w:name w:val="annotation text"/>
    <w:basedOn w:val="1047"/>
    <w:link w:val="1053"/>
    <w:uiPriority w:val="99"/>
    <w:unhideWhenUsed/>
    <w:rPr>
      <w:szCs w:val="20"/>
    </w:rPr>
  </w:style>
  <w:style w:type="character" w:styleId="1053" w:customStyle="1">
    <w:name w:val="Текст примечания Знак"/>
    <w:basedOn w:val="1048"/>
    <w:link w:val="1052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054">
    <w:name w:val="Balloon Text"/>
    <w:basedOn w:val="1047"/>
    <w:link w:val="105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55" w:customStyle="1">
    <w:name w:val="Текст выноски Знак"/>
    <w:basedOn w:val="1048"/>
    <w:link w:val="1054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1056">
    <w:name w:val="annotation subject"/>
    <w:basedOn w:val="1052"/>
    <w:next w:val="1052"/>
    <w:link w:val="1057"/>
    <w:uiPriority w:val="99"/>
    <w:semiHidden/>
    <w:unhideWhenUsed/>
    <w:rPr>
      <w:b/>
      <w:bCs/>
    </w:rPr>
  </w:style>
  <w:style w:type="character" w:styleId="1057" w:customStyle="1">
    <w:name w:val="Тема примечания Знак"/>
    <w:basedOn w:val="1053"/>
    <w:link w:val="1056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58" w:customStyle="1">
    <w:name w:val="! ТЗ Стиль __ТекстОсн_1и + Times New Roman 12 пт По ширине Первая стр..."/>
    <w:basedOn w:val="1047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1059" w:customStyle="1">
    <w:name w:val="Сетка таблицы3"/>
    <w:basedOn w:val="1049"/>
    <w:next w:val="1060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0">
    <w:name w:val="Table Grid"/>
    <w:basedOn w:val="104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1">
    <w:name w:val="List Paragraph"/>
    <w:basedOn w:val="1047"/>
    <w:uiPriority w:val="34"/>
    <w:qFormat/>
    <w:pPr>
      <w:contextualSpacing/>
      <w:ind w:left="720"/>
    </w:pPr>
  </w:style>
  <w:style w:type="paragraph" w:styleId="1062">
    <w:name w:val="Header"/>
    <w:basedOn w:val="1047"/>
    <w:link w:val="10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63" w:customStyle="1">
    <w:name w:val="Верхний колонтитул Знак"/>
    <w:basedOn w:val="1048"/>
    <w:link w:val="1062"/>
    <w:uiPriority w:val="99"/>
    <w:rPr>
      <w:rFonts w:ascii="Times New Roman" w:hAnsi="Times New Roman" w:eastAsia="Times New Roman" w:cs="Times New Roman"/>
      <w:sz w:val="20"/>
    </w:rPr>
  </w:style>
  <w:style w:type="paragraph" w:styleId="1064">
    <w:name w:val="Footer"/>
    <w:basedOn w:val="1047"/>
    <w:link w:val="10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65" w:customStyle="1">
    <w:name w:val="Нижний колонтитул Знак"/>
    <w:basedOn w:val="1048"/>
    <w:link w:val="1064"/>
    <w:uiPriority w:val="99"/>
    <w:rPr>
      <w:rFonts w:ascii="Times New Roman" w:hAnsi="Times New Roman" w:eastAsia="Times New Roman" w:cs="Times New Roman"/>
      <w:sz w:val="20"/>
    </w:rPr>
  </w:style>
  <w:style w:type="paragraph" w:styleId="1066">
    <w:name w:val="endnote text"/>
    <w:basedOn w:val="1047"/>
    <w:link w:val="1067"/>
    <w:uiPriority w:val="99"/>
    <w:semiHidden/>
    <w:unhideWhenUsed/>
    <w:rPr>
      <w:szCs w:val="20"/>
    </w:rPr>
  </w:style>
  <w:style w:type="character" w:styleId="1067" w:customStyle="1">
    <w:name w:val="Текст концевой сноски Знак"/>
    <w:basedOn w:val="1048"/>
    <w:link w:val="1066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1068">
    <w:name w:val="endnote reference"/>
    <w:basedOn w:val="1048"/>
    <w:uiPriority w:val="99"/>
    <w:semiHidden/>
    <w:unhideWhenUsed/>
    <w:rPr>
      <w:vertAlign w:val="superscript"/>
    </w:rPr>
  </w:style>
  <w:style w:type="paragraph" w:styleId="1069">
    <w:name w:val="footnote text"/>
    <w:basedOn w:val="1047"/>
    <w:link w:val="1070"/>
    <w:uiPriority w:val="99"/>
    <w:unhideWhenUsed/>
    <w:rPr>
      <w:szCs w:val="20"/>
    </w:rPr>
  </w:style>
  <w:style w:type="character" w:styleId="1070" w:customStyle="1">
    <w:name w:val="Текст сноски Знак"/>
    <w:basedOn w:val="1048"/>
    <w:link w:val="1069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071">
    <w:name w:val="footnote reference"/>
    <w:basedOn w:val="1048"/>
    <w:uiPriority w:val="99"/>
    <w:semiHidden/>
    <w:unhideWhenUsed/>
    <w:rPr>
      <w:vertAlign w:val="superscript"/>
    </w:rPr>
  </w:style>
  <w:style w:type="paragraph" w:styleId="107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1073">
    <w:name w:val="Body Text"/>
    <w:basedOn w:val="1047"/>
    <w:link w:val="1074"/>
    <w:uiPriority w:val="1"/>
    <w:qFormat/>
    <w:pPr>
      <w:widowControl w:val="off"/>
    </w:pPr>
    <w:rPr>
      <w:sz w:val="24"/>
      <w:szCs w:val="24"/>
    </w:rPr>
  </w:style>
  <w:style w:type="character" w:styleId="1074" w:customStyle="1">
    <w:name w:val="Основной текст Знак"/>
    <w:basedOn w:val="1048"/>
    <w:link w:val="1073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1075">
    <w:name w:val="HTML Code"/>
    <w:basedOn w:val="1048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1076">
    <w:name w:val="Hyperlink"/>
    <w:uiPriority w:val="99"/>
    <w:unhideWhenUsed/>
    <w:rPr>
      <w:color w:val="0000ff" w:themeColor="hyperlink"/>
      <w:u w:val="single"/>
    </w:rPr>
  </w:style>
  <w:style w:type="paragraph" w:styleId="1077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078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079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1080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081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1082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7</cp:revision>
  <dcterms:created xsi:type="dcterms:W3CDTF">2025-01-21T12:28:00Z</dcterms:created>
  <dcterms:modified xsi:type="dcterms:W3CDTF">2025-07-21T04:47:01Z</dcterms:modified>
</cp:coreProperties>
</file>